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533D" w14:textId="7785F746" w:rsidR="00F22251" w:rsidRPr="00F32008" w:rsidRDefault="00F22251" w:rsidP="00F22251">
      <w:pPr>
        <w:rPr>
          <w:rFonts w:ascii="Arial" w:hAnsi="Arial" w:cs="Arial"/>
          <w:sz w:val="20"/>
          <w:szCs w:val="21"/>
        </w:rPr>
      </w:pPr>
    </w:p>
    <w:p w14:paraId="5466B9B8" w14:textId="77777777" w:rsidR="00F32008" w:rsidRPr="00F32008" w:rsidRDefault="00D55800" w:rsidP="00F32008">
      <w:pPr>
        <w:pStyle w:val="af"/>
        <w:autoSpaceDE w:val="0"/>
        <w:autoSpaceDN w:val="0"/>
        <w:spacing w:line="240" w:lineRule="auto"/>
        <w:rPr>
          <w:rFonts w:ascii="Arial" w:hAnsi="Arial" w:cs="Arial"/>
          <w:bCs/>
          <w:sz w:val="22"/>
          <w:szCs w:val="16"/>
        </w:rPr>
      </w:pPr>
      <w:r w:rsidRPr="00F32008">
        <w:rPr>
          <w:rFonts w:ascii="Arial" w:hAnsi="Arial" w:cs="Arial"/>
          <w:bCs/>
          <w:sz w:val="22"/>
          <w:szCs w:val="16"/>
        </w:rPr>
        <w:t>Notice Concerning Difference between Business Forecasts and</w:t>
      </w:r>
    </w:p>
    <w:p w14:paraId="4B6B0335" w14:textId="332959CC" w:rsidR="00774939" w:rsidRPr="00F32008" w:rsidRDefault="00D55800" w:rsidP="00F32008">
      <w:pPr>
        <w:pStyle w:val="af"/>
        <w:autoSpaceDE w:val="0"/>
        <w:autoSpaceDN w:val="0"/>
        <w:spacing w:line="240" w:lineRule="auto"/>
        <w:rPr>
          <w:rFonts w:ascii="Arial" w:hAnsi="Arial" w:cs="Arial"/>
          <w:bCs/>
          <w:spacing w:val="0"/>
          <w:sz w:val="22"/>
          <w:szCs w:val="16"/>
        </w:rPr>
      </w:pPr>
      <w:r w:rsidRPr="00F32008">
        <w:rPr>
          <w:rFonts w:ascii="Arial" w:hAnsi="Arial" w:cs="Arial"/>
          <w:bCs/>
          <w:sz w:val="22"/>
          <w:szCs w:val="16"/>
        </w:rPr>
        <w:t xml:space="preserve"> Actual Results for the Second Quarter of the Fiscal Year Ending December 2021</w:t>
      </w:r>
    </w:p>
    <w:p w14:paraId="6366DCFF" w14:textId="77777777" w:rsidR="00774939" w:rsidRPr="00B3104E" w:rsidRDefault="00774939" w:rsidP="00774939">
      <w:pPr>
        <w:autoSpaceDE w:val="0"/>
        <w:autoSpaceDN w:val="0"/>
        <w:spacing w:line="360" w:lineRule="exact"/>
        <w:rPr>
          <w:rFonts w:ascii="Arial" w:hAnsi="Arial" w:cs="Arial"/>
        </w:rPr>
      </w:pPr>
    </w:p>
    <w:p w14:paraId="7C390D2E" w14:textId="79A280DB" w:rsidR="00D65C49" w:rsidRPr="00894F13" w:rsidRDefault="00D55800" w:rsidP="00C03FFB">
      <w:pPr>
        <w:autoSpaceDE w:val="0"/>
        <w:autoSpaceDN w:val="0"/>
        <w:spacing w:line="240" w:lineRule="exact"/>
        <w:ind w:rightChars="-202" w:right="-424"/>
        <w:jc w:val="left"/>
        <w:rPr>
          <w:rFonts w:ascii="Arial" w:hAnsi="Arial" w:cs="Arial"/>
          <w:sz w:val="20"/>
          <w:szCs w:val="21"/>
        </w:rPr>
      </w:pPr>
      <w:r w:rsidRPr="00894F13">
        <w:rPr>
          <w:rFonts w:ascii="Arial" w:hAnsi="Arial" w:cs="Arial"/>
          <w:sz w:val="20"/>
          <w:szCs w:val="21"/>
        </w:rPr>
        <w:t>Sansei Landic Co., Ltd announces its difference between consolidated business forecasts for the second quarter of the fiscal year ending December 2021 announced on February 12, 2021 and its actual results announced today.</w:t>
      </w:r>
    </w:p>
    <w:p w14:paraId="69118979" w14:textId="77777777" w:rsidR="00774939" w:rsidRPr="00894F13" w:rsidRDefault="00774939" w:rsidP="00F32008">
      <w:pPr>
        <w:autoSpaceDE w:val="0"/>
        <w:autoSpaceDN w:val="0"/>
        <w:spacing w:line="360" w:lineRule="exact"/>
        <w:rPr>
          <w:rFonts w:ascii="Arial" w:hAnsi="Arial" w:cs="Arial"/>
          <w:sz w:val="20"/>
          <w:szCs w:val="21"/>
        </w:rPr>
      </w:pPr>
    </w:p>
    <w:p w14:paraId="301A8E29" w14:textId="79169DE1" w:rsidR="00F33F2B" w:rsidRPr="00894F13" w:rsidRDefault="00F32008" w:rsidP="00F32008">
      <w:pPr>
        <w:spacing w:line="240" w:lineRule="exact"/>
        <w:jc w:val="left"/>
        <w:rPr>
          <w:rFonts w:ascii="Arial" w:hAnsi="Arial" w:cs="Arial"/>
          <w:sz w:val="20"/>
          <w:szCs w:val="21"/>
        </w:rPr>
      </w:pPr>
      <w:r w:rsidRPr="00894F13">
        <w:rPr>
          <w:rFonts w:ascii="Arial" w:hAnsi="Arial" w:cs="Arial"/>
          <w:sz w:val="20"/>
          <w:szCs w:val="21"/>
        </w:rPr>
        <w:t xml:space="preserve">1. </w:t>
      </w:r>
      <w:r w:rsidR="0000314C" w:rsidRPr="00894F13">
        <w:rPr>
          <w:rFonts w:ascii="Arial" w:hAnsi="Arial" w:cs="Arial"/>
          <w:sz w:val="20"/>
          <w:szCs w:val="21"/>
        </w:rPr>
        <w:t>Difference between consolidated business forecasts and actual results</w:t>
      </w:r>
    </w:p>
    <w:p w14:paraId="05DE3803" w14:textId="64D03C4D" w:rsidR="00AC0C7C" w:rsidRPr="00894F13" w:rsidRDefault="0000314C" w:rsidP="00F32008">
      <w:pPr>
        <w:spacing w:afterLines="30" w:after="108" w:line="240" w:lineRule="exact"/>
        <w:ind w:left="284"/>
        <w:jc w:val="left"/>
        <w:rPr>
          <w:rFonts w:ascii="Arial" w:hAnsi="Arial" w:cs="Arial"/>
          <w:sz w:val="20"/>
          <w:szCs w:val="21"/>
        </w:rPr>
      </w:pPr>
      <w:r w:rsidRPr="00894F13">
        <w:rPr>
          <w:rFonts w:ascii="Arial" w:hAnsi="Arial" w:cs="Arial"/>
          <w:sz w:val="20"/>
          <w:szCs w:val="21"/>
        </w:rPr>
        <w:t xml:space="preserve">Difference between consolidated business forecasts and actual results for the second quarter of the fiscal year ending December 2021 (January 1, 2021 - June 30, 2021)  </w:t>
      </w:r>
    </w:p>
    <w:tbl>
      <w:tblPr>
        <w:tblStyle w:val="af1"/>
        <w:tblW w:w="9639" w:type="dxa"/>
        <w:tblInd w:w="137" w:type="dxa"/>
        <w:tblLook w:val="04A0" w:firstRow="1" w:lastRow="0" w:firstColumn="1" w:lastColumn="0" w:noHBand="0" w:noVBand="1"/>
      </w:tblPr>
      <w:tblGrid>
        <w:gridCol w:w="2552"/>
        <w:gridCol w:w="1417"/>
        <w:gridCol w:w="1418"/>
        <w:gridCol w:w="1417"/>
        <w:gridCol w:w="1418"/>
        <w:gridCol w:w="1417"/>
      </w:tblGrid>
      <w:tr w:rsidR="0000314C" w:rsidRPr="00B3104E" w14:paraId="451A3F20" w14:textId="77777777" w:rsidTr="00F32008">
        <w:trPr>
          <w:trHeight w:val="943"/>
        </w:trPr>
        <w:tc>
          <w:tcPr>
            <w:tcW w:w="2552" w:type="dxa"/>
          </w:tcPr>
          <w:p w14:paraId="27691BDE" w14:textId="77777777" w:rsidR="0000314C" w:rsidRPr="00B3104E" w:rsidRDefault="0000314C" w:rsidP="00040EA9">
            <w:pPr>
              <w:ind w:leftChars="14" w:left="425" w:hangingChars="198" w:hanging="396"/>
              <w:rPr>
                <w:rFonts w:ascii="Arial" w:hAnsi="Arial" w:cs="Arial"/>
              </w:rPr>
            </w:pPr>
          </w:p>
        </w:tc>
        <w:tc>
          <w:tcPr>
            <w:tcW w:w="1417" w:type="dxa"/>
            <w:vAlign w:val="center"/>
          </w:tcPr>
          <w:p w14:paraId="7F4E8E2B" w14:textId="77777777" w:rsidR="0000314C" w:rsidRPr="00894F13" w:rsidRDefault="0000314C" w:rsidP="00F32008">
            <w:pPr>
              <w:spacing w:line="240" w:lineRule="exact"/>
              <w:ind w:leftChars="14" w:left="29"/>
              <w:jc w:val="center"/>
              <w:rPr>
                <w:rFonts w:ascii="Arial" w:hAnsi="Arial" w:cs="Arial"/>
                <w:szCs w:val="21"/>
              </w:rPr>
            </w:pPr>
            <w:r w:rsidRPr="00894F13">
              <w:rPr>
                <w:rFonts w:ascii="Arial" w:hAnsi="Arial" w:cs="Arial"/>
                <w:szCs w:val="21"/>
              </w:rPr>
              <w:t>Net sales</w:t>
            </w:r>
          </w:p>
        </w:tc>
        <w:tc>
          <w:tcPr>
            <w:tcW w:w="1418" w:type="dxa"/>
            <w:vAlign w:val="center"/>
          </w:tcPr>
          <w:p w14:paraId="3B2F6842" w14:textId="77777777" w:rsidR="0000314C" w:rsidRPr="00894F13" w:rsidRDefault="0000314C" w:rsidP="00F32008">
            <w:pPr>
              <w:spacing w:line="240" w:lineRule="exact"/>
              <w:ind w:leftChars="14" w:left="29"/>
              <w:jc w:val="center"/>
              <w:rPr>
                <w:rFonts w:ascii="Arial" w:hAnsi="Arial" w:cs="Arial"/>
                <w:szCs w:val="21"/>
              </w:rPr>
            </w:pPr>
            <w:r w:rsidRPr="00894F13">
              <w:rPr>
                <w:rFonts w:ascii="Arial" w:hAnsi="Arial" w:cs="Arial"/>
                <w:szCs w:val="21"/>
              </w:rPr>
              <w:t>Operating Income</w:t>
            </w:r>
          </w:p>
        </w:tc>
        <w:tc>
          <w:tcPr>
            <w:tcW w:w="1417" w:type="dxa"/>
            <w:vAlign w:val="center"/>
          </w:tcPr>
          <w:p w14:paraId="640D029F" w14:textId="77777777" w:rsidR="0000314C" w:rsidRPr="00894F13" w:rsidRDefault="0000314C" w:rsidP="00F32008">
            <w:pPr>
              <w:spacing w:line="240" w:lineRule="exact"/>
              <w:ind w:leftChars="14" w:left="29"/>
              <w:jc w:val="center"/>
              <w:rPr>
                <w:rFonts w:ascii="Arial" w:hAnsi="Arial" w:cs="Arial"/>
                <w:szCs w:val="21"/>
              </w:rPr>
            </w:pPr>
            <w:r w:rsidRPr="00894F13">
              <w:rPr>
                <w:rFonts w:ascii="Arial" w:hAnsi="Arial" w:cs="Arial"/>
                <w:szCs w:val="21"/>
              </w:rPr>
              <w:t>Ordinary Income</w:t>
            </w:r>
          </w:p>
        </w:tc>
        <w:tc>
          <w:tcPr>
            <w:tcW w:w="1418" w:type="dxa"/>
            <w:vAlign w:val="center"/>
          </w:tcPr>
          <w:p w14:paraId="1028ACDF" w14:textId="1E95E1C1" w:rsidR="0000314C" w:rsidRPr="00F32008" w:rsidRDefault="0000314C" w:rsidP="00F32008">
            <w:pPr>
              <w:spacing w:line="200" w:lineRule="exact"/>
              <w:ind w:leftChars="14" w:left="29"/>
              <w:jc w:val="center"/>
              <w:rPr>
                <w:rFonts w:ascii="Arial" w:hAnsi="Arial" w:cs="Arial"/>
                <w:sz w:val="21"/>
                <w:szCs w:val="22"/>
              </w:rPr>
            </w:pPr>
            <w:r w:rsidRPr="00F32008">
              <w:rPr>
                <w:rFonts w:ascii="Arial" w:hAnsi="Arial" w:cs="Arial"/>
                <w:sz w:val="18"/>
              </w:rPr>
              <w:t>Net income attributable to owners of parent</w:t>
            </w:r>
          </w:p>
        </w:tc>
        <w:tc>
          <w:tcPr>
            <w:tcW w:w="1417" w:type="dxa"/>
            <w:vAlign w:val="center"/>
          </w:tcPr>
          <w:p w14:paraId="5D84A77D" w14:textId="77026FEB" w:rsidR="0000314C" w:rsidRPr="00F32008" w:rsidRDefault="0000314C" w:rsidP="00F32008">
            <w:pPr>
              <w:spacing w:line="240" w:lineRule="exact"/>
              <w:ind w:leftChars="14" w:left="29"/>
              <w:jc w:val="center"/>
              <w:rPr>
                <w:rFonts w:ascii="Arial" w:hAnsi="Arial" w:cs="Arial"/>
                <w:sz w:val="21"/>
                <w:szCs w:val="22"/>
              </w:rPr>
            </w:pPr>
            <w:r w:rsidRPr="00894F13">
              <w:rPr>
                <w:rFonts w:ascii="Arial" w:hAnsi="Arial" w:cs="Arial"/>
                <w:szCs w:val="21"/>
              </w:rPr>
              <w:t>Net income per share</w:t>
            </w:r>
          </w:p>
        </w:tc>
      </w:tr>
      <w:tr w:rsidR="00C03FFB" w:rsidRPr="00B3104E" w14:paraId="591F9BEF" w14:textId="77777777" w:rsidTr="00C03FFB">
        <w:trPr>
          <w:trHeight w:val="258"/>
        </w:trPr>
        <w:tc>
          <w:tcPr>
            <w:tcW w:w="2552" w:type="dxa"/>
            <w:vMerge w:val="restart"/>
            <w:vAlign w:val="center"/>
          </w:tcPr>
          <w:p w14:paraId="1AF48ADD" w14:textId="77777777" w:rsidR="00C03FFB" w:rsidRPr="00894F13" w:rsidRDefault="00C03FFB" w:rsidP="00D253D2">
            <w:pPr>
              <w:spacing w:line="260" w:lineRule="exact"/>
              <w:ind w:leftChars="14" w:left="29"/>
              <w:jc w:val="left"/>
              <w:rPr>
                <w:rFonts w:ascii="Arial" w:hAnsi="Arial" w:cs="Arial"/>
              </w:rPr>
            </w:pPr>
            <w:r w:rsidRPr="00894F13">
              <w:rPr>
                <w:rFonts w:ascii="Arial" w:hAnsi="Arial" w:cs="Arial"/>
              </w:rPr>
              <w:t>Previous forecasts (A)</w:t>
            </w:r>
          </w:p>
          <w:p w14:paraId="32800AC4" w14:textId="68715330" w:rsidR="00C03FFB" w:rsidRPr="00894F13" w:rsidRDefault="00C03FFB" w:rsidP="00D253D2">
            <w:pPr>
              <w:spacing w:line="260" w:lineRule="exact"/>
              <w:ind w:leftChars="14" w:left="29"/>
              <w:jc w:val="left"/>
              <w:rPr>
                <w:rFonts w:ascii="Arial" w:hAnsi="Arial" w:cs="Arial"/>
              </w:rPr>
            </w:pPr>
            <w:r w:rsidRPr="00894F13">
              <w:rPr>
                <w:rFonts w:ascii="Arial" w:hAnsi="Arial" w:cs="Arial"/>
              </w:rPr>
              <w:t>(announced on February 12, 2021)</w:t>
            </w:r>
          </w:p>
        </w:tc>
        <w:tc>
          <w:tcPr>
            <w:tcW w:w="1417" w:type="dxa"/>
            <w:tcBorders>
              <w:bottom w:val="nil"/>
            </w:tcBorders>
          </w:tcPr>
          <w:p w14:paraId="5F2FE469" w14:textId="7AAE7C53" w:rsidR="00C03FFB" w:rsidRPr="00894F13" w:rsidRDefault="00C03FFB" w:rsidP="00040EA9">
            <w:pPr>
              <w:ind w:leftChars="14" w:left="29"/>
              <w:jc w:val="right"/>
              <w:rPr>
                <w:rFonts w:ascii="Arial" w:hAnsi="Arial" w:cs="Arial"/>
                <w:szCs w:val="21"/>
              </w:rPr>
            </w:pPr>
            <w:r w:rsidRPr="00894F13">
              <w:rPr>
                <w:rFonts w:ascii="Arial" w:hAnsi="Arial" w:cs="Arial"/>
                <w:sz w:val="18"/>
              </w:rPr>
              <w:t>Million yen</w:t>
            </w:r>
          </w:p>
        </w:tc>
        <w:tc>
          <w:tcPr>
            <w:tcW w:w="1418" w:type="dxa"/>
            <w:tcBorders>
              <w:bottom w:val="nil"/>
            </w:tcBorders>
          </w:tcPr>
          <w:p w14:paraId="6AA00C2D" w14:textId="017E9E9B" w:rsidR="00C03FFB" w:rsidRPr="00894F13" w:rsidRDefault="00C03FFB" w:rsidP="00040EA9">
            <w:pPr>
              <w:ind w:leftChars="14" w:left="29"/>
              <w:jc w:val="right"/>
              <w:rPr>
                <w:rFonts w:ascii="Arial" w:hAnsi="Arial" w:cs="Arial"/>
                <w:szCs w:val="21"/>
              </w:rPr>
            </w:pPr>
            <w:r w:rsidRPr="00894F13">
              <w:rPr>
                <w:rFonts w:ascii="Arial" w:hAnsi="Arial" w:cs="Arial"/>
                <w:sz w:val="18"/>
              </w:rPr>
              <w:t>Million yen</w:t>
            </w:r>
          </w:p>
        </w:tc>
        <w:tc>
          <w:tcPr>
            <w:tcW w:w="1417" w:type="dxa"/>
            <w:tcBorders>
              <w:bottom w:val="nil"/>
            </w:tcBorders>
          </w:tcPr>
          <w:p w14:paraId="3291B5B5" w14:textId="2E77C63B" w:rsidR="00C03FFB" w:rsidRPr="00894F13" w:rsidRDefault="00C03FFB" w:rsidP="00040EA9">
            <w:pPr>
              <w:ind w:leftChars="14" w:left="29"/>
              <w:jc w:val="right"/>
              <w:rPr>
                <w:rFonts w:ascii="Arial" w:hAnsi="Arial" w:cs="Arial"/>
                <w:szCs w:val="21"/>
              </w:rPr>
            </w:pPr>
            <w:r w:rsidRPr="00894F13">
              <w:rPr>
                <w:rFonts w:ascii="Arial" w:hAnsi="Arial" w:cs="Arial"/>
                <w:sz w:val="18"/>
              </w:rPr>
              <w:t>Million yen</w:t>
            </w:r>
          </w:p>
        </w:tc>
        <w:tc>
          <w:tcPr>
            <w:tcW w:w="1418" w:type="dxa"/>
            <w:tcBorders>
              <w:bottom w:val="nil"/>
            </w:tcBorders>
          </w:tcPr>
          <w:p w14:paraId="39622DFF" w14:textId="1F826151" w:rsidR="00C03FFB" w:rsidRPr="00894F13" w:rsidRDefault="00C03FFB" w:rsidP="00040EA9">
            <w:pPr>
              <w:ind w:leftChars="14" w:left="29"/>
              <w:jc w:val="right"/>
              <w:rPr>
                <w:rFonts w:ascii="Arial" w:hAnsi="Arial" w:cs="Arial"/>
                <w:szCs w:val="21"/>
              </w:rPr>
            </w:pPr>
            <w:r w:rsidRPr="00894F13">
              <w:rPr>
                <w:rFonts w:ascii="Arial" w:hAnsi="Arial" w:cs="Arial"/>
                <w:sz w:val="18"/>
              </w:rPr>
              <w:t>Million yen</w:t>
            </w:r>
          </w:p>
        </w:tc>
        <w:tc>
          <w:tcPr>
            <w:tcW w:w="1417" w:type="dxa"/>
            <w:tcBorders>
              <w:bottom w:val="nil"/>
            </w:tcBorders>
          </w:tcPr>
          <w:p w14:paraId="2ADC1BB4" w14:textId="0F44A5A0" w:rsidR="00C03FFB" w:rsidRPr="00894F13" w:rsidRDefault="00C03FFB" w:rsidP="00040EA9">
            <w:pPr>
              <w:wordWrap w:val="0"/>
              <w:ind w:leftChars="14" w:left="29"/>
              <w:jc w:val="right"/>
              <w:rPr>
                <w:rFonts w:ascii="Arial" w:hAnsi="Arial" w:cs="Arial"/>
                <w:szCs w:val="21"/>
              </w:rPr>
            </w:pPr>
            <w:r w:rsidRPr="00894F13">
              <w:rPr>
                <w:rFonts w:ascii="Arial" w:hAnsi="Arial" w:cs="Arial"/>
                <w:sz w:val="18"/>
              </w:rPr>
              <w:t>Yen</w:t>
            </w:r>
          </w:p>
        </w:tc>
      </w:tr>
      <w:tr w:rsidR="00C03FFB" w:rsidRPr="00B3104E" w14:paraId="462242A3" w14:textId="77777777" w:rsidTr="00C03FFB">
        <w:trPr>
          <w:trHeight w:val="589"/>
        </w:trPr>
        <w:tc>
          <w:tcPr>
            <w:tcW w:w="2552" w:type="dxa"/>
            <w:vMerge/>
            <w:vAlign w:val="center"/>
          </w:tcPr>
          <w:p w14:paraId="3E2450F0" w14:textId="77777777" w:rsidR="00C03FFB" w:rsidRPr="00894F13" w:rsidRDefault="00C03FFB" w:rsidP="00D253D2">
            <w:pPr>
              <w:spacing w:line="260" w:lineRule="exact"/>
              <w:ind w:leftChars="14" w:left="29"/>
              <w:jc w:val="left"/>
              <w:rPr>
                <w:rFonts w:ascii="Arial" w:hAnsi="Arial" w:cs="Arial"/>
              </w:rPr>
            </w:pPr>
          </w:p>
        </w:tc>
        <w:tc>
          <w:tcPr>
            <w:tcW w:w="1417" w:type="dxa"/>
            <w:tcBorders>
              <w:top w:val="nil"/>
            </w:tcBorders>
            <w:vAlign w:val="center"/>
          </w:tcPr>
          <w:p w14:paraId="1241CFA5" w14:textId="77777777" w:rsidR="00C03FFB" w:rsidRPr="00894F13" w:rsidRDefault="00C03FFB" w:rsidP="00C03FFB">
            <w:pPr>
              <w:jc w:val="right"/>
              <w:rPr>
                <w:rFonts w:ascii="Arial" w:hAnsi="Arial" w:cs="Arial"/>
                <w:sz w:val="18"/>
              </w:rPr>
            </w:pPr>
            <w:r w:rsidRPr="00894F13">
              <w:rPr>
                <w:rFonts w:ascii="Arial" w:hAnsi="Arial" w:cs="Arial"/>
                <w:szCs w:val="21"/>
              </w:rPr>
              <w:t>8,375</w:t>
            </w:r>
          </w:p>
        </w:tc>
        <w:tc>
          <w:tcPr>
            <w:tcW w:w="1418" w:type="dxa"/>
            <w:tcBorders>
              <w:top w:val="nil"/>
            </w:tcBorders>
            <w:vAlign w:val="center"/>
          </w:tcPr>
          <w:p w14:paraId="01C7B939" w14:textId="77777777" w:rsidR="00C03FFB" w:rsidRPr="00894F13" w:rsidRDefault="00C03FFB" w:rsidP="00C03FFB">
            <w:pPr>
              <w:jc w:val="right"/>
              <w:rPr>
                <w:rFonts w:ascii="Arial" w:hAnsi="Arial" w:cs="Arial"/>
                <w:sz w:val="18"/>
              </w:rPr>
            </w:pPr>
            <w:r w:rsidRPr="00894F13">
              <w:rPr>
                <w:rFonts w:ascii="Arial" w:hAnsi="Arial" w:cs="Arial"/>
                <w:szCs w:val="21"/>
              </w:rPr>
              <w:t>286</w:t>
            </w:r>
          </w:p>
        </w:tc>
        <w:tc>
          <w:tcPr>
            <w:tcW w:w="1417" w:type="dxa"/>
            <w:tcBorders>
              <w:top w:val="nil"/>
            </w:tcBorders>
            <w:vAlign w:val="center"/>
          </w:tcPr>
          <w:p w14:paraId="66196FBC" w14:textId="77777777" w:rsidR="00C03FFB" w:rsidRPr="00894F13" w:rsidRDefault="00C03FFB" w:rsidP="00C03FFB">
            <w:pPr>
              <w:jc w:val="right"/>
              <w:rPr>
                <w:rFonts w:ascii="Arial" w:hAnsi="Arial" w:cs="Arial"/>
                <w:sz w:val="18"/>
              </w:rPr>
            </w:pPr>
            <w:r w:rsidRPr="00894F13">
              <w:rPr>
                <w:rFonts w:ascii="Arial" w:hAnsi="Arial" w:cs="Arial"/>
                <w:szCs w:val="21"/>
              </w:rPr>
              <w:t>214</w:t>
            </w:r>
          </w:p>
        </w:tc>
        <w:tc>
          <w:tcPr>
            <w:tcW w:w="1418" w:type="dxa"/>
            <w:tcBorders>
              <w:top w:val="nil"/>
            </w:tcBorders>
            <w:vAlign w:val="center"/>
          </w:tcPr>
          <w:p w14:paraId="78E069B2" w14:textId="77777777" w:rsidR="00C03FFB" w:rsidRPr="00894F13" w:rsidRDefault="00C03FFB" w:rsidP="00C03FFB">
            <w:pPr>
              <w:jc w:val="right"/>
              <w:rPr>
                <w:rFonts w:ascii="Arial" w:hAnsi="Arial" w:cs="Arial"/>
                <w:sz w:val="18"/>
              </w:rPr>
            </w:pPr>
            <w:r w:rsidRPr="00894F13">
              <w:rPr>
                <w:rFonts w:ascii="Arial" w:hAnsi="Arial" w:cs="Arial"/>
                <w:szCs w:val="21"/>
              </w:rPr>
              <w:t>137</w:t>
            </w:r>
          </w:p>
        </w:tc>
        <w:tc>
          <w:tcPr>
            <w:tcW w:w="1417" w:type="dxa"/>
            <w:tcBorders>
              <w:top w:val="nil"/>
            </w:tcBorders>
            <w:vAlign w:val="center"/>
          </w:tcPr>
          <w:p w14:paraId="5443BFCF" w14:textId="77777777" w:rsidR="00C03FFB" w:rsidRPr="00894F13" w:rsidRDefault="00C03FFB" w:rsidP="00C03FFB">
            <w:pPr>
              <w:jc w:val="right"/>
              <w:rPr>
                <w:rFonts w:ascii="Arial" w:hAnsi="Arial" w:cs="Arial"/>
                <w:sz w:val="18"/>
              </w:rPr>
            </w:pPr>
            <w:r w:rsidRPr="00894F13">
              <w:rPr>
                <w:rFonts w:ascii="Arial" w:hAnsi="Arial" w:cs="Arial"/>
                <w:szCs w:val="21"/>
              </w:rPr>
              <w:t>16.29</w:t>
            </w:r>
          </w:p>
        </w:tc>
      </w:tr>
      <w:tr w:rsidR="0000314C" w:rsidRPr="00B3104E" w14:paraId="5BF3F3B4" w14:textId="77777777" w:rsidTr="00F32008">
        <w:trPr>
          <w:trHeight w:val="527"/>
        </w:trPr>
        <w:tc>
          <w:tcPr>
            <w:tcW w:w="2552" w:type="dxa"/>
            <w:vAlign w:val="center"/>
          </w:tcPr>
          <w:p w14:paraId="2CAE0DF8" w14:textId="52C9883D" w:rsidR="0000314C" w:rsidRPr="00894F13" w:rsidRDefault="0000314C" w:rsidP="00F32008">
            <w:pPr>
              <w:spacing w:line="240" w:lineRule="exact"/>
              <w:ind w:leftChars="14" w:left="29"/>
              <w:jc w:val="left"/>
              <w:rPr>
                <w:rFonts w:ascii="Arial" w:hAnsi="Arial" w:cs="Arial"/>
              </w:rPr>
            </w:pPr>
            <w:r w:rsidRPr="00894F13">
              <w:rPr>
                <w:rFonts w:ascii="Arial" w:hAnsi="Arial" w:cs="Arial"/>
              </w:rPr>
              <w:t>Actual results (B)</w:t>
            </w:r>
          </w:p>
        </w:tc>
        <w:tc>
          <w:tcPr>
            <w:tcW w:w="1417" w:type="dxa"/>
            <w:vAlign w:val="center"/>
          </w:tcPr>
          <w:p w14:paraId="2C5ABD62" w14:textId="16C19629" w:rsidR="0000314C" w:rsidRPr="00894F13" w:rsidRDefault="00666B6D" w:rsidP="00040EA9">
            <w:pPr>
              <w:ind w:leftChars="14" w:left="29"/>
              <w:jc w:val="right"/>
              <w:rPr>
                <w:rFonts w:ascii="Arial" w:hAnsi="Arial" w:cs="Arial"/>
                <w:szCs w:val="21"/>
              </w:rPr>
            </w:pPr>
            <w:r w:rsidRPr="00894F13">
              <w:rPr>
                <w:rFonts w:ascii="Arial" w:hAnsi="Arial" w:cs="Arial"/>
                <w:szCs w:val="21"/>
              </w:rPr>
              <w:t>9,109</w:t>
            </w:r>
          </w:p>
        </w:tc>
        <w:tc>
          <w:tcPr>
            <w:tcW w:w="1418" w:type="dxa"/>
            <w:vAlign w:val="center"/>
          </w:tcPr>
          <w:p w14:paraId="30202DB9" w14:textId="2786370B" w:rsidR="0000314C" w:rsidRPr="00894F13" w:rsidRDefault="00666B6D" w:rsidP="00040EA9">
            <w:pPr>
              <w:ind w:leftChars="14" w:left="29"/>
              <w:jc w:val="right"/>
              <w:rPr>
                <w:rFonts w:ascii="Arial" w:hAnsi="Arial" w:cs="Arial"/>
                <w:szCs w:val="21"/>
              </w:rPr>
            </w:pPr>
            <w:r w:rsidRPr="00894F13">
              <w:rPr>
                <w:rFonts w:ascii="Arial" w:hAnsi="Arial" w:cs="Arial"/>
                <w:szCs w:val="21"/>
              </w:rPr>
              <w:t>689</w:t>
            </w:r>
          </w:p>
        </w:tc>
        <w:tc>
          <w:tcPr>
            <w:tcW w:w="1417" w:type="dxa"/>
            <w:vAlign w:val="center"/>
          </w:tcPr>
          <w:p w14:paraId="5D86D2DE" w14:textId="152F0E88" w:rsidR="0000314C" w:rsidRPr="00894F13" w:rsidRDefault="00666B6D" w:rsidP="00040EA9">
            <w:pPr>
              <w:ind w:leftChars="14" w:left="29"/>
              <w:jc w:val="right"/>
              <w:rPr>
                <w:rFonts w:ascii="Arial" w:hAnsi="Arial" w:cs="Arial"/>
                <w:szCs w:val="21"/>
              </w:rPr>
            </w:pPr>
            <w:r w:rsidRPr="00894F13">
              <w:rPr>
                <w:rFonts w:ascii="Arial" w:hAnsi="Arial" w:cs="Arial"/>
                <w:szCs w:val="21"/>
              </w:rPr>
              <w:t>631</w:t>
            </w:r>
          </w:p>
        </w:tc>
        <w:tc>
          <w:tcPr>
            <w:tcW w:w="1418" w:type="dxa"/>
            <w:vAlign w:val="center"/>
          </w:tcPr>
          <w:p w14:paraId="1854857D" w14:textId="2F8654EE" w:rsidR="0000314C" w:rsidRPr="00894F13" w:rsidRDefault="00666B6D" w:rsidP="00040EA9">
            <w:pPr>
              <w:ind w:leftChars="14" w:left="29"/>
              <w:jc w:val="right"/>
              <w:rPr>
                <w:rFonts w:ascii="Arial" w:hAnsi="Arial" w:cs="Arial"/>
                <w:szCs w:val="21"/>
              </w:rPr>
            </w:pPr>
            <w:r w:rsidRPr="00894F13">
              <w:rPr>
                <w:rFonts w:ascii="Arial" w:hAnsi="Arial" w:cs="Arial"/>
                <w:szCs w:val="21"/>
              </w:rPr>
              <w:t>402</w:t>
            </w:r>
          </w:p>
        </w:tc>
        <w:tc>
          <w:tcPr>
            <w:tcW w:w="1417" w:type="dxa"/>
            <w:vAlign w:val="center"/>
          </w:tcPr>
          <w:p w14:paraId="7D91C308" w14:textId="389E1D6C" w:rsidR="0000314C" w:rsidRPr="00894F13" w:rsidRDefault="00666B6D" w:rsidP="007377F0">
            <w:pPr>
              <w:ind w:leftChars="14" w:left="29"/>
              <w:jc w:val="right"/>
              <w:rPr>
                <w:rFonts w:ascii="Arial" w:hAnsi="Arial" w:cs="Arial"/>
                <w:szCs w:val="21"/>
              </w:rPr>
            </w:pPr>
            <w:r w:rsidRPr="00894F13">
              <w:rPr>
                <w:rFonts w:ascii="Arial" w:hAnsi="Arial" w:cs="Arial"/>
                <w:szCs w:val="21"/>
              </w:rPr>
              <w:t>48.37</w:t>
            </w:r>
          </w:p>
        </w:tc>
      </w:tr>
      <w:tr w:rsidR="0000314C" w:rsidRPr="00B3104E" w14:paraId="1610FDE7" w14:textId="77777777" w:rsidTr="00F32008">
        <w:trPr>
          <w:trHeight w:val="577"/>
        </w:trPr>
        <w:tc>
          <w:tcPr>
            <w:tcW w:w="2552" w:type="dxa"/>
            <w:vAlign w:val="center"/>
          </w:tcPr>
          <w:p w14:paraId="28BA40B4" w14:textId="77777777" w:rsidR="00894F13" w:rsidRPr="00894F13" w:rsidRDefault="00894F13" w:rsidP="00F32008">
            <w:pPr>
              <w:spacing w:line="240" w:lineRule="exact"/>
              <w:ind w:leftChars="14" w:left="29"/>
              <w:jc w:val="left"/>
              <w:rPr>
                <w:rFonts w:ascii="Arial" w:hAnsi="Arial" w:cs="Arial"/>
              </w:rPr>
            </w:pPr>
            <w:r w:rsidRPr="00894F13">
              <w:rPr>
                <w:rFonts w:ascii="Arial" w:hAnsi="Arial" w:cs="Arial"/>
              </w:rPr>
              <w:t>Increase/decrease</w:t>
            </w:r>
          </w:p>
          <w:p w14:paraId="38D92C83" w14:textId="0C50FB2E" w:rsidR="0000314C" w:rsidRPr="00894F13" w:rsidRDefault="0000314C" w:rsidP="00F32008">
            <w:pPr>
              <w:spacing w:line="240" w:lineRule="exact"/>
              <w:ind w:leftChars="14" w:left="29"/>
              <w:jc w:val="left"/>
              <w:rPr>
                <w:rFonts w:ascii="Arial" w:hAnsi="Arial" w:cs="Arial"/>
              </w:rPr>
            </w:pPr>
            <w:r w:rsidRPr="00894F13">
              <w:rPr>
                <w:rFonts w:ascii="Arial" w:hAnsi="Arial" w:cs="Arial"/>
              </w:rPr>
              <w:t>(B-A)</w:t>
            </w:r>
          </w:p>
        </w:tc>
        <w:tc>
          <w:tcPr>
            <w:tcW w:w="1417" w:type="dxa"/>
            <w:vAlign w:val="center"/>
          </w:tcPr>
          <w:p w14:paraId="7E8D7B8C" w14:textId="23A647F1" w:rsidR="0000314C" w:rsidRPr="00894F13" w:rsidRDefault="00666B6D" w:rsidP="00040EA9">
            <w:pPr>
              <w:ind w:leftChars="14" w:left="29"/>
              <w:jc w:val="right"/>
              <w:rPr>
                <w:rFonts w:ascii="Arial" w:hAnsi="Arial" w:cs="Arial"/>
                <w:szCs w:val="21"/>
              </w:rPr>
            </w:pPr>
            <w:r w:rsidRPr="00894F13">
              <w:rPr>
                <w:rFonts w:ascii="Arial" w:hAnsi="Arial" w:cs="Arial"/>
                <w:szCs w:val="21"/>
              </w:rPr>
              <w:t>734</w:t>
            </w:r>
          </w:p>
        </w:tc>
        <w:tc>
          <w:tcPr>
            <w:tcW w:w="1418" w:type="dxa"/>
            <w:vAlign w:val="center"/>
          </w:tcPr>
          <w:p w14:paraId="14C9A186" w14:textId="2C338BF4" w:rsidR="0000314C" w:rsidRPr="00894F13" w:rsidRDefault="001A2A13" w:rsidP="00040EA9">
            <w:pPr>
              <w:ind w:leftChars="14" w:left="29"/>
              <w:jc w:val="right"/>
              <w:rPr>
                <w:rFonts w:ascii="Arial" w:hAnsi="Arial" w:cs="Arial"/>
                <w:szCs w:val="21"/>
              </w:rPr>
            </w:pPr>
            <w:r w:rsidRPr="00894F13">
              <w:rPr>
                <w:rFonts w:ascii="Arial" w:hAnsi="Arial" w:cs="Arial"/>
                <w:szCs w:val="21"/>
              </w:rPr>
              <w:t>402</w:t>
            </w:r>
          </w:p>
        </w:tc>
        <w:tc>
          <w:tcPr>
            <w:tcW w:w="1417" w:type="dxa"/>
            <w:vAlign w:val="center"/>
          </w:tcPr>
          <w:p w14:paraId="1646484E" w14:textId="4958E02F" w:rsidR="0000314C" w:rsidRPr="00894F13" w:rsidRDefault="000F00B1" w:rsidP="00040EA9">
            <w:pPr>
              <w:ind w:leftChars="14" w:left="29"/>
              <w:jc w:val="right"/>
              <w:rPr>
                <w:rFonts w:ascii="Arial" w:hAnsi="Arial" w:cs="Arial"/>
                <w:szCs w:val="21"/>
              </w:rPr>
            </w:pPr>
            <w:r w:rsidRPr="00894F13">
              <w:rPr>
                <w:rFonts w:ascii="Arial" w:hAnsi="Arial" w:cs="Arial"/>
                <w:szCs w:val="21"/>
              </w:rPr>
              <w:t>416</w:t>
            </w:r>
          </w:p>
        </w:tc>
        <w:tc>
          <w:tcPr>
            <w:tcW w:w="1418" w:type="dxa"/>
            <w:vAlign w:val="center"/>
          </w:tcPr>
          <w:p w14:paraId="21509BC6" w14:textId="719D3912" w:rsidR="0000314C" w:rsidRPr="00894F13" w:rsidRDefault="00666B6D" w:rsidP="00040EA9">
            <w:pPr>
              <w:ind w:leftChars="14" w:left="29"/>
              <w:jc w:val="right"/>
              <w:rPr>
                <w:rFonts w:ascii="Arial" w:hAnsi="Arial" w:cs="Arial"/>
                <w:szCs w:val="21"/>
              </w:rPr>
            </w:pPr>
            <w:r w:rsidRPr="00894F13">
              <w:rPr>
                <w:rFonts w:ascii="Arial" w:hAnsi="Arial" w:cs="Arial"/>
                <w:szCs w:val="21"/>
              </w:rPr>
              <w:t>265</w:t>
            </w:r>
          </w:p>
        </w:tc>
        <w:tc>
          <w:tcPr>
            <w:tcW w:w="1417" w:type="dxa"/>
            <w:shd w:val="clear" w:color="auto" w:fill="D9D9D9" w:themeFill="background1" w:themeFillShade="D9"/>
            <w:vAlign w:val="center"/>
          </w:tcPr>
          <w:p w14:paraId="2C74C0B0" w14:textId="77777777" w:rsidR="0000314C" w:rsidRPr="00894F13" w:rsidRDefault="0000314C" w:rsidP="00040EA9">
            <w:pPr>
              <w:ind w:leftChars="14" w:left="29"/>
              <w:jc w:val="right"/>
              <w:rPr>
                <w:rFonts w:ascii="Arial" w:hAnsi="Arial" w:cs="Arial"/>
                <w:szCs w:val="21"/>
              </w:rPr>
            </w:pPr>
          </w:p>
        </w:tc>
      </w:tr>
      <w:tr w:rsidR="0000314C" w:rsidRPr="00B3104E" w14:paraId="25D40E49" w14:textId="77777777" w:rsidTr="00F32008">
        <w:trPr>
          <w:trHeight w:val="543"/>
        </w:trPr>
        <w:tc>
          <w:tcPr>
            <w:tcW w:w="2552" w:type="dxa"/>
            <w:vAlign w:val="center"/>
          </w:tcPr>
          <w:p w14:paraId="24E931DB" w14:textId="32F16BEF" w:rsidR="0000314C" w:rsidRPr="00894F13" w:rsidRDefault="00A5119B" w:rsidP="00F32008">
            <w:pPr>
              <w:spacing w:line="240" w:lineRule="exact"/>
              <w:ind w:leftChars="14" w:left="29"/>
              <w:jc w:val="left"/>
              <w:rPr>
                <w:rFonts w:ascii="Arial" w:hAnsi="Arial" w:cs="Arial"/>
              </w:rPr>
            </w:pPr>
            <w:r w:rsidRPr="00894F13">
              <w:rPr>
                <w:rFonts w:ascii="Arial" w:hAnsi="Arial" w:cs="Arial"/>
              </w:rPr>
              <w:t>Change rate</w:t>
            </w:r>
            <w:r w:rsidR="0000314C" w:rsidRPr="00894F13">
              <w:rPr>
                <w:rFonts w:ascii="Arial" w:hAnsi="Arial" w:cs="Arial"/>
              </w:rPr>
              <w:t xml:space="preserve"> (%)</w:t>
            </w:r>
          </w:p>
        </w:tc>
        <w:tc>
          <w:tcPr>
            <w:tcW w:w="1417" w:type="dxa"/>
            <w:vAlign w:val="center"/>
          </w:tcPr>
          <w:p w14:paraId="212A551C" w14:textId="13510FE1" w:rsidR="0000314C" w:rsidRPr="00894F13" w:rsidRDefault="009549FE" w:rsidP="00040EA9">
            <w:pPr>
              <w:ind w:leftChars="14" w:left="29"/>
              <w:jc w:val="right"/>
              <w:rPr>
                <w:rFonts w:ascii="Arial" w:hAnsi="Arial" w:cs="Arial"/>
                <w:szCs w:val="21"/>
              </w:rPr>
            </w:pPr>
            <w:r w:rsidRPr="00894F13">
              <w:rPr>
                <w:rFonts w:ascii="Arial" w:hAnsi="Arial" w:cs="Arial"/>
                <w:szCs w:val="21"/>
              </w:rPr>
              <w:t>8.8</w:t>
            </w:r>
          </w:p>
        </w:tc>
        <w:tc>
          <w:tcPr>
            <w:tcW w:w="1418" w:type="dxa"/>
            <w:vAlign w:val="center"/>
          </w:tcPr>
          <w:p w14:paraId="700FCFA3" w14:textId="136ECB70" w:rsidR="0000314C" w:rsidRPr="00894F13" w:rsidRDefault="009549FE" w:rsidP="00040EA9">
            <w:pPr>
              <w:ind w:leftChars="14" w:left="29"/>
              <w:jc w:val="right"/>
              <w:rPr>
                <w:rFonts w:ascii="Arial" w:hAnsi="Arial" w:cs="Arial"/>
                <w:szCs w:val="21"/>
              </w:rPr>
            </w:pPr>
            <w:r w:rsidRPr="00894F13">
              <w:rPr>
                <w:rFonts w:ascii="Arial" w:hAnsi="Arial" w:cs="Arial"/>
                <w:szCs w:val="21"/>
              </w:rPr>
              <w:t>140.7</w:t>
            </w:r>
          </w:p>
        </w:tc>
        <w:tc>
          <w:tcPr>
            <w:tcW w:w="1417" w:type="dxa"/>
            <w:vAlign w:val="center"/>
          </w:tcPr>
          <w:p w14:paraId="299D9076" w14:textId="5AF04AB1" w:rsidR="0000314C" w:rsidRPr="00894F13" w:rsidRDefault="009549FE" w:rsidP="00040EA9">
            <w:pPr>
              <w:ind w:leftChars="14" w:left="29"/>
              <w:jc w:val="right"/>
              <w:rPr>
                <w:rFonts w:ascii="Arial" w:hAnsi="Arial" w:cs="Arial"/>
                <w:szCs w:val="21"/>
              </w:rPr>
            </w:pPr>
            <w:r w:rsidRPr="00894F13">
              <w:rPr>
                <w:rFonts w:ascii="Arial" w:hAnsi="Arial" w:cs="Arial"/>
                <w:szCs w:val="21"/>
              </w:rPr>
              <w:t>194.3</w:t>
            </w:r>
          </w:p>
        </w:tc>
        <w:tc>
          <w:tcPr>
            <w:tcW w:w="1418" w:type="dxa"/>
            <w:vAlign w:val="center"/>
          </w:tcPr>
          <w:p w14:paraId="1CBBB63E" w14:textId="561CB788" w:rsidR="0000314C" w:rsidRPr="00894F13" w:rsidRDefault="009549FE" w:rsidP="00040EA9">
            <w:pPr>
              <w:ind w:leftChars="14" w:left="29"/>
              <w:jc w:val="right"/>
              <w:rPr>
                <w:rFonts w:ascii="Arial" w:hAnsi="Arial" w:cs="Arial"/>
                <w:szCs w:val="21"/>
              </w:rPr>
            </w:pPr>
            <w:r w:rsidRPr="00894F13">
              <w:rPr>
                <w:rFonts w:ascii="Arial" w:hAnsi="Arial" w:cs="Arial"/>
                <w:szCs w:val="21"/>
              </w:rPr>
              <w:t>192.9</w:t>
            </w:r>
          </w:p>
        </w:tc>
        <w:tc>
          <w:tcPr>
            <w:tcW w:w="1417" w:type="dxa"/>
            <w:shd w:val="clear" w:color="auto" w:fill="D9D9D9" w:themeFill="background1" w:themeFillShade="D9"/>
            <w:vAlign w:val="center"/>
          </w:tcPr>
          <w:p w14:paraId="684B24EA" w14:textId="77777777" w:rsidR="0000314C" w:rsidRPr="00894F13" w:rsidRDefault="0000314C" w:rsidP="00040EA9">
            <w:pPr>
              <w:ind w:leftChars="14" w:left="29"/>
              <w:jc w:val="right"/>
              <w:rPr>
                <w:rFonts w:ascii="Arial" w:hAnsi="Arial" w:cs="Arial"/>
                <w:szCs w:val="21"/>
              </w:rPr>
            </w:pPr>
          </w:p>
        </w:tc>
      </w:tr>
      <w:tr w:rsidR="0000314C" w:rsidRPr="00B3104E" w14:paraId="12970D67" w14:textId="77777777" w:rsidTr="00F32008">
        <w:trPr>
          <w:trHeight w:val="885"/>
        </w:trPr>
        <w:tc>
          <w:tcPr>
            <w:tcW w:w="2552" w:type="dxa"/>
            <w:vAlign w:val="center"/>
          </w:tcPr>
          <w:p w14:paraId="1D522652" w14:textId="77777777" w:rsidR="00F32008" w:rsidRPr="00894F13" w:rsidRDefault="008C26F4" w:rsidP="00F32008">
            <w:pPr>
              <w:spacing w:line="240" w:lineRule="exact"/>
              <w:ind w:leftChars="14" w:left="29"/>
              <w:jc w:val="left"/>
              <w:rPr>
                <w:rFonts w:ascii="Arial" w:hAnsi="Arial" w:cs="Arial"/>
              </w:rPr>
            </w:pPr>
            <w:r w:rsidRPr="00894F13">
              <w:rPr>
                <w:rFonts w:ascii="Arial" w:hAnsi="Arial" w:cs="Arial"/>
              </w:rPr>
              <w:t xml:space="preserve">(Reference) </w:t>
            </w:r>
          </w:p>
          <w:p w14:paraId="5334C1DD" w14:textId="0EF66375" w:rsidR="0000314C" w:rsidRPr="00894F13" w:rsidRDefault="008C26F4" w:rsidP="00F32008">
            <w:pPr>
              <w:spacing w:line="240" w:lineRule="exact"/>
              <w:ind w:leftChars="14" w:left="29"/>
              <w:jc w:val="left"/>
              <w:rPr>
                <w:rFonts w:ascii="Arial" w:hAnsi="Arial" w:cs="Arial"/>
              </w:rPr>
            </w:pPr>
            <w:r w:rsidRPr="00894F13">
              <w:rPr>
                <w:rFonts w:ascii="Arial" w:hAnsi="Arial" w:cs="Arial"/>
              </w:rPr>
              <w:t>Previous Q2 results</w:t>
            </w:r>
          </w:p>
          <w:p w14:paraId="29FE0FBB" w14:textId="164A18B9" w:rsidR="0000314C" w:rsidRPr="00894F13" w:rsidRDefault="0000314C" w:rsidP="00F32008">
            <w:pPr>
              <w:spacing w:line="240" w:lineRule="exact"/>
              <w:ind w:leftChars="14" w:left="29"/>
              <w:jc w:val="left"/>
              <w:rPr>
                <w:rFonts w:ascii="Arial" w:hAnsi="Arial" w:cs="Arial"/>
              </w:rPr>
            </w:pPr>
            <w:r w:rsidRPr="00894F13">
              <w:rPr>
                <w:rFonts w:ascii="Arial" w:hAnsi="Arial" w:cs="Arial"/>
              </w:rPr>
              <w:t>(FY12/20 Q2)</w:t>
            </w:r>
          </w:p>
        </w:tc>
        <w:tc>
          <w:tcPr>
            <w:tcW w:w="1417" w:type="dxa"/>
            <w:vAlign w:val="center"/>
          </w:tcPr>
          <w:p w14:paraId="12AE479D" w14:textId="13A0CF0C" w:rsidR="0000314C" w:rsidRPr="00894F13" w:rsidRDefault="004457A7" w:rsidP="00040EA9">
            <w:pPr>
              <w:ind w:leftChars="14" w:left="29"/>
              <w:jc w:val="right"/>
              <w:rPr>
                <w:rFonts w:ascii="Arial" w:hAnsi="Arial" w:cs="Arial"/>
                <w:szCs w:val="21"/>
              </w:rPr>
            </w:pPr>
            <w:r w:rsidRPr="00894F13">
              <w:rPr>
                <w:rFonts w:ascii="Arial" w:hAnsi="Arial" w:cs="Arial"/>
                <w:szCs w:val="21"/>
              </w:rPr>
              <w:t>8,354</w:t>
            </w:r>
          </w:p>
        </w:tc>
        <w:tc>
          <w:tcPr>
            <w:tcW w:w="1418" w:type="dxa"/>
            <w:vAlign w:val="center"/>
          </w:tcPr>
          <w:p w14:paraId="42FDFADF" w14:textId="179BD739" w:rsidR="0000314C" w:rsidRPr="00894F13" w:rsidRDefault="004457A7" w:rsidP="00040EA9">
            <w:pPr>
              <w:ind w:leftChars="14" w:left="29"/>
              <w:jc w:val="right"/>
              <w:rPr>
                <w:rFonts w:ascii="Arial" w:hAnsi="Arial" w:cs="Arial"/>
                <w:szCs w:val="21"/>
              </w:rPr>
            </w:pPr>
            <w:r w:rsidRPr="00894F13">
              <w:rPr>
                <w:rFonts w:ascii="Arial" w:hAnsi="Arial" w:cs="Arial"/>
                <w:szCs w:val="21"/>
              </w:rPr>
              <w:t>395</w:t>
            </w:r>
          </w:p>
        </w:tc>
        <w:tc>
          <w:tcPr>
            <w:tcW w:w="1417" w:type="dxa"/>
            <w:vAlign w:val="center"/>
          </w:tcPr>
          <w:p w14:paraId="248E16A1" w14:textId="1537DEDE" w:rsidR="0000314C" w:rsidRPr="00894F13" w:rsidRDefault="004457A7" w:rsidP="00040EA9">
            <w:pPr>
              <w:ind w:leftChars="14" w:left="29"/>
              <w:jc w:val="right"/>
              <w:rPr>
                <w:rFonts w:ascii="Arial" w:hAnsi="Arial" w:cs="Arial"/>
                <w:szCs w:val="21"/>
              </w:rPr>
            </w:pPr>
            <w:r w:rsidRPr="00894F13">
              <w:rPr>
                <w:rFonts w:ascii="Arial" w:hAnsi="Arial" w:cs="Arial"/>
                <w:szCs w:val="21"/>
              </w:rPr>
              <w:t>291</w:t>
            </w:r>
          </w:p>
        </w:tc>
        <w:tc>
          <w:tcPr>
            <w:tcW w:w="1418" w:type="dxa"/>
            <w:vAlign w:val="center"/>
          </w:tcPr>
          <w:p w14:paraId="7A06DB40" w14:textId="5B26DA56" w:rsidR="0000314C" w:rsidRPr="00894F13" w:rsidRDefault="004457A7" w:rsidP="00040EA9">
            <w:pPr>
              <w:ind w:leftChars="14" w:left="29"/>
              <w:jc w:val="right"/>
              <w:rPr>
                <w:rFonts w:ascii="Arial" w:hAnsi="Arial" w:cs="Arial"/>
                <w:szCs w:val="21"/>
              </w:rPr>
            </w:pPr>
            <w:r w:rsidRPr="00894F13">
              <w:rPr>
                <w:rFonts w:ascii="Arial" w:hAnsi="Arial" w:cs="Arial"/>
                <w:szCs w:val="21"/>
              </w:rPr>
              <w:t>182</w:t>
            </w:r>
          </w:p>
        </w:tc>
        <w:tc>
          <w:tcPr>
            <w:tcW w:w="1417" w:type="dxa"/>
            <w:vAlign w:val="center"/>
          </w:tcPr>
          <w:p w14:paraId="7416325D" w14:textId="7BF4A456" w:rsidR="0000314C" w:rsidRPr="00894F13" w:rsidRDefault="004457A7" w:rsidP="00040EA9">
            <w:pPr>
              <w:ind w:leftChars="14" w:left="29"/>
              <w:jc w:val="right"/>
              <w:rPr>
                <w:rFonts w:ascii="Arial" w:hAnsi="Arial" w:cs="Arial"/>
                <w:szCs w:val="21"/>
              </w:rPr>
            </w:pPr>
            <w:r w:rsidRPr="00894F13">
              <w:rPr>
                <w:rFonts w:ascii="Arial" w:hAnsi="Arial" w:cs="Arial"/>
                <w:szCs w:val="21"/>
              </w:rPr>
              <w:t>21.76</w:t>
            </w:r>
          </w:p>
        </w:tc>
      </w:tr>
    </w:tbl>
    <w:p w14:paraId="4A18A90A" w14:textId="77777777" w:rsidR="0000314C" w:rsidRPr="00B3104E" w:rsidRDefault="0000314C" w:rsidP="002248CA">
      <w:pPr>
        <w:ind w:left="424"/>
        <w:rPr>
          <w:rFonts w:ascii="Arial" w:hAnsi="Arial" w:cs="Arial"/>
        </w:rPr>
      </w:pPr>
    </w:p>
    <w:p w14:paraId="02978757" w14:textId="3C6E1A5C" w:rsidR="00252EF2" w:rsidRPr="00894F13" w:rsidRDefault="00252EF2" w:rsidP="00894F13">
      <w:pPr>
        <w:spacing w:afterLines="30" w:after="108" w:line="240" w:lineRule="exact"/>
        <w:rPr>
          <w:rFonts w:ascii="Arial" w:hAnsi="Arial" w:cs="Arial"/>
          <w:sz w:val="20"/>
          <w:szCs w:val="21"/>
        </w:rPr>
      </w:pPr>
      <w:r w:rsidRPr="00894F13">
        <w:rPr>
          <w:rFonts w:ascii="Arial" w:hAnsi="Arial" w:cs="Arial"/>
          <w:sz w:val="20"/>
          <w:szCs w:val="21"/>
        </w:rPr>
        <w:t xml:space="preserve">2. </w:t>
      </w:r>
      <w:r w:rsidR="00245D9F">
        <w:rPr>
          <w:rFonts w:ascii="Arial" w:hAnsi="Arial" w:cs="Arial"/>
          <w:sz w:val="20"/>
          <w:szCs w:val="21"/>
        </w:rPr>
        <w:t>Reason for the d</w:t>
      </w:r>
      <w:r w:rsidRPr="00894F13">
        <w:rPr>
          <w:rFonts w:ascii="Arial" w:hAnsi="Arial" w:cs="Arial"/>
          <w:sz w:val="20"/>
          <w:szCs w:val="21"/>
        </w:rPr>
        <w:t>ifference between consolidated business forecasts and actual results</w:t>
      </w:r>
    </w:p>
    <w:p w14:paraId="110B0440" w14:textId="7EE1C612" w:rsidR="00670ED2" w:rsidRPr="00894F13" w:rsidRDefault="002C68CA" w:rsidP="00F32008">
      <w:pPr>
        <w:spacing w:line="240" w:lineRule="exact"/>
        <w:ind w:leftChars="135" w:left="283" w:firstLine="2"/>
        <w:jc w:val="left"/>
        <w:rPr>
          <w:rFonts w:ascii="Arial" w:hAnsi="Arial" w:cs="Arial"/>
          <w:sz w:val="20"/>
          <w:szCs w:val="21"/>
        </w:rPr>
      </w:pPr>
      <w:r w:rsidRPr="00894F13">
        <w:rPr>
          <w:rFonts w:ascii="Arial" w:hAnsi="Arial" w:cs="Arial"/>
          <w:sz w:val="20"/>
          <w:szCs w:val="21"/>
        </w:rPr>
        <w:t>As for the consolidated business results for the second quarter of the fiscal year ending December 2021, the delay in the progress of the Real Estate Sales Business due to the impact of COVID-19 was recovered, and profit</w:t>
      </w:r>
      <w:r w:rsidR="00245D9F">
        <w:rPr>
          <w:rFonts w:ascii="Arial" w:hAnsi="Arial" w:cs="Arial"/>
          <w:sz w:val="20"/>
          <w:szCs w:val="21"/>
        </w:rPr>
        <w:t>s</w:t>
      </w:r>
      <w:r w:rsidRPr="00894F13">
        <w:rPr>
          <w:rFonts w:ascii="Arial" w:hAnsi="Arial" w:cs="Arial"/>
          <w:sz w:val="20"/>
          <w:szCs w:val="21"/>
        </w:rPr>
        <w:t xml:space="preserve"> grew significantly, especially </w:t>
      </w:r>
      <w:r w:rsidR="00245D9F">
        <w:rPr>
          <w:rFonts w:ascii="Arial" w:hAnsi="Arial" w:cs="Arial"/>
          <w:sz w:val="20"/>
          <w:szCs w:val="21"/>
        </w:rPr>
        <w:t>owing</w:t>
      </w:r>
      <w:r w:rsidRPr="00894F13">
        <w:rPr>
          <w:rFonts w:ascii="Arial" w:hAnsi="Arial" w:cs="Arial"/>
          <w:sz w:val="20"/>
          <w:szCs w:val="21"/>
        </w:rPr>
        <w:t xml:space="preserve"> to the large increase in sales of leasehold land.</w:t>
      </w:r>
    </w:p>
    <w:p w14:paraId="654D6ECD" w14:textId="3859E338" w:rsidR="005875C1" w:rsidRPr="00894F13" w:rsidRDefault="005875C1" w:rsidP="00F32008">
      <w:pPr>
        <w:spacing w:line="240" w:lineRule="exact"/>
        <w:ind w:leftChars="135" w:left="283" w:firstLine="2"/>
        <w:jc w:val="left"/>
        <w:rPr>
          <w:rFonts w:ascii="Arial" w:hAnsi="Arial" w:cs="Arial"/>
          <w:sz w:val="20"/>
          <w:szCs w:val="21"/>
        </w:rPr>
      </w:pPr>
      <w:r w:rsidRPr="00894F13">
        <w:rPr>
          <w:rFonts w:ascii="Arial" w:hAnsi="Arial" w:cs="Arial"/>
          <w:sz w:val="20"/>
          <w:szCs w:val="21"/>
        </w:rPr>
        <w:t>In the Construction Business, sales and profits of custom-built houses and renovations fell short of the plan mainly due to delays in business negotiations and construction starts caused by the impact of COVID-19.</w:t>
      </w:r>
    </w:p>
    <w:p w14:paraId="1571908F" w14:textId="3BB958B1" w:rsidR="00CE30AA" w:rsidRPr="00894F13" w:rsidRDefault="00CE30AA" w:rsidP="00F32008">
      <w:pPr>
        <w:spacing w:line="240" w:lineRule="exact"/>
        <w:ind w:leftChars="135" w:left="283" w:firstLine="2"/>
        <w:jc w:val="left"/>
        <w:rPr>
          <w:rFonts w:ascii="Arial" w:hAnsi="Arial" w:cs="Arial"/>
          <w:sz w:val="20"/>
          <w:szCs w:val="21"/>
        </w:rPr>
      </w:pPr>
      <w:r w:rsidRPr="00894F13">
        <w:rPr>
          <w:rFonts w:ascii="Arial" w:hAnsi="Arial" w:cs="Arial"/>
          <w:sz w:val="20"/>
          <w:szCs w:val="21"/>
        </w:rPr>
        <w:t>Consequently, the Company has revised the forecasts for the second quarter of the fiscal year ending December 2021 as described above.</w:t>
      </w:r>
    </w:p>
    <w:p w14:paraId="508C645A" w14:textId="5B684F65" w:rsidR="005113EF" w:rsidRDefault="005113EF" w:rsidP="00F32008">
      <w:pPr>
        <w:spacing w:line="240" w:lineRule="exact"/>
        <w:ind w:leftChars="135" w:left="283" w:firstLine="2"/>
        <w:jc w:val="left"/>
        <w:rPr>
          <w:rFonts w:ascii="Arial" w:hAnsi="Arial" w:cs="Arial"/>
          <w:sz w:val="20"/>
          <w:szCs w:val="21"/>
        </w:rPr>
      </w:pPr>
    </w:p>
    <w:p w14:paraId="4BBAB9B8" w14:textId="5573B47D" w:rsidR="00D40EF4" w:rsidRDefault="00D40EF4" w:rsidP="00F32008">
      <w:pPr>
        <w:spacing w:line="240" w:lineRule="exact"/>
        <w:ind w:leftChars="135" w:left="283" w:firstLine="2"/>
        <w:jc w:val="left"/>
        <w:rPr>
          <w:rFonts w:ascii="Arial" w:hAnsi="Arial" w:cs="Arial"/>
          <w:sz w:val="20"/>
          <w:szCs w:val="21"/>
        </w:rPr>
      </w:pPr>
    </w:p>
    <w:p w14:paraId="52E007C9" w14:textId="779784D4" w:rsidR="00D40EF4" w:rsidRDefault="00D40EF4" w:rsidP="00F32008">
      <w:pPr>
        <w:spacing w:line="240" w:lineRule="exact"/>
        <w:ind w:leftChars="135" w:left="283" w:firstLine="2"/>
        <w:jc w:val="left"/>
        <w:rPr>
          <w:rFonts w:ascii="Arial" w:hAnsi="Arial" w:cs="Arial"/>
          <w:sz w:val="20"/>
          <w:szCs w:val="21"/>
        </w:rPr>
      </w:pPr>
    </w:p>
    <w:p w14:paraId="0ACFBEEB" w14:textId="5EDBE143" w:rsidR="00D40EF4" w:rsidRDefault="00D40EF4" w:rsidP="00F32008">
      <w:pPr>
        <w:spacing w:line="240" w:lineRule="exact"/>
        <w:ind w:leftChars="135" w:left="283" w:firstLine="2"/>
        <w:jc w:val="left"/>
        <w:rPr>
          <w:rFonts w:ascii="Arial" w:hAnsi="Arial" w:cs="Arial"/>
          <w:sz w:val="20"/>
          <w:szCs w:val="21"/>
        </w:rPr>
      </w:pPr>
    </w:p>
    <w:p w14:paraId="345DA168" w14:textId="0705D300" w:rsidR="00D40EF4" w:rsidRDefault="00D40EF4" w:rsidP="00F32008">
      <w:pPr>
        <w:spacing w:line="240" w:lineRule="exact"/>
        <w:ind w:leftChars="135" w:left="283" w:firstLine="2"/>
        <w:jc w:val="left"/>
        <w:rPr>
          <w:rFonts w:ascii="Arial" w:hAnsi="Arial" w:cs="Arial"/>
          <w:sz w:val="20"/>
          <w:szCs w:val="21"/>
        </w:rPr>
      </w:pPr>
    </w:p>
    <w:p w14:paraId="057C4DAB" w14:textId="0CBC421C" w:rsidR="00D40EF4" w:rsidRDefault="00D40EF4" w:rsidP="00F32008">
      <w:pPr>
        <w:spacing w:line="240" w:lineRule="exact"/>
        <w:ind w:leftChars="135" w:left="283" w:firstLine="2"/>
        <w:jc w:val="left"/>
        <w:rPr>
          <w:rFonts w:ascii="Arial" w:hAnsi="Arial" w:cs="Arial"/>
          <w:sz w:val="20"/>
          <w:szCs w:val="21"/>
        </w:rPr>
      </w:pPr>
    </w:p>
    <w:p w14:paraId="2D40ED5C" w14:textId="2EDEBD50" w:rsidR="00D40EF4" w:rsidRDefault="00D40EF4" w:rsidP="00F32008">
      <w:pPr>
        <w:spacing w:line="240" w:lineRule="exact"/>
        <w:ind w:leftChars="135" w:left="283" w:firstLine="2"/>
        <w:jc w:val="left"/>
        <w:rPr>
          <w:rFonts w:ascii="Arial" w:hAnsi="Arial" w:cs="Arial"/>
          <w:sz w:val="20"/>
          <w:szCs w:val="21"/>
        </w:rPr>
      </w:pPr>
    </w:p>
    <w:p w14:paraId="32116634" w14:textId="608A9EF2" w:rsidR="00D40EF4" w:rsidRDefault="00D40EF4" w:rsidP="00F32008">
      <w:pPr>
        <w:spacing w:line="240" w:lineRule="exact"/>
        <w:ind w:leftChars="135" w:left="283" w:firstLine="2"/>
        <w:jc w:val="left"/>
        <w:rPr>
          <w:rFonts w:ascii="Arial" w:hAnsi="Arial" w:cs="Arial"/>
          <w:sz w:val="20"/>
          <w:szCs w:val="21"/>
        </w:rPr>
      </w:pPr>
    </w:p>
    <w:p w14:paraId="4100A3BF" w14:textId="36789AD3" w:rsidR="00D40EF4" w:rsidRDefault="00D40EF4" w:rsidP="00F32008">
      <w:pPr>
        <w:spacing w:line="240" w:lineRule="exact"/>
        <w:ind w:leftChars="135" w:left="283" w:firstLine="2"/>
        <w:jc w:val="left"/>
        <w:rPr>
          <w:rFonts w:ascii="Arial" w:hAnsi="Arial" w:cs="Arial"/>
          <w:sz w:val="20"/>
          <w:szCs w:val="21"/>
        </w:rPr>
      </w:pPr>
    </w:p>
    <w:p w14:paraId="4BD854E9" w14:textId="77777777" w:rsidR="00245D9F" w:rsidRDefault="00245D9F" w:rsidP="00F32008">
      <w:pPr>
        <w:spacing w:line="240" w:lineRule="exact"/>
        <w:ind w:leftChars="135" w:left="283" w:firstLine="2"/>
        <w:jc w:val="left"/>
        <w:rPr>
          <w:rFonts w:ascii="Arial" w:hAnsi="Arial" w:cs="Arial"/>
          <w:sz w:val="20"/>
          <w:szCs w:val="21"/>
        </w:rPr>
      </w:pPr>
    </w:p>
    <w:p w14:paraId="7ACE380B" w14:textId="5448F967" w:rsidR="00D40EF4" w:rsidRDefault="00D40EF4" w:rsidP="00F32008">
      <w:pPr>
        <w:spacing w:line="240" w:lineRule="exact"/>
        <w:ind w:leftChars="135" w:left="283" w:firstLine="2"/>
        <w:jc w:val="left"/>
        <w:rPr>
          <w:rFonts w:ascii="Arial" w:hAnsi="Arial" w:cs="Arial"/>
          <w:sz w:val="20"/>
          <w:szCs w:val="21"/>
        </w:rPr>
      </w:pPr>
    </w:p>
    <w:p w14:paraId="7D67C5F9" w14:textId="77777777" w:rsidR="0011425F" w:rsidRDefault="0011425F" w:rsidP="00F32008">
      <w:pPr>
        <w:spacing w:line="240" w:lineRule="exact"/>
        <w:ind w:leftChars="135" w:left="283" w:firstLine="2"/>
        <w:jc w:val="left"/>
        <w:rPr>
          <w:rFonts w:ascii="Arial" w:hAnsi="Arial" w:cs="Arial"/>
          <w:sz w:val="20"/>
          <w:szCs w:val="21"/>
        </w:rPr>
        <w:sectPr w:rsidR="0011425F" w:rsidSect="00C04064">
          <w:headerReference w:type="default" r:id="rId8"/>
          <w:footerReference w:type="default" r:id="rId9"/>
          <w:pgSz w:w="11906" w:h="16838"/>
          <w:pgMar w:top="1701" w:right="1133" w:bottom="1418" w:left="1134" w:header="851" w:footer="992" w:gutter="0"/>
          <w:cols w:space="425"/>
          <w:docGrid w:type="lines" w:linePitch="360"/>
        </w:sectPr>
      </w:pPr>
    </w:p>
    <w:p w14:paraId="0E94C48E" w14:textId="52CF7FD4" w:rsidR="00D40EF4" w:rsidRPr="00894F13" w:rsidRDefault="00D40EF4" w:rsidP="00F32008">
      <w:pPr>
        <w:spacing w:line="240" w:lineRule="exact"/>
        <w:ind w:leftChars="135" w:left="283" w:firstLine="2"/>
        <w:jc w:val="left"/>
        <w:rPr>
          <w:rFonts w:ascii="Arial" w:hAnsi="Arial" w:cs="Arial"/>
          <w:sz w:val="20"/>
          <w:szCs w:val="21"/>
        </w:rPr>
      </w:pPr>
    </w:p>
    <w:p w14:paraId="248CD3E1" w14:textId="27243F8D" w:rsidR="00252EF2" w:rsidRPr="00894F13" w:rsidRDefault="00FC73A0" w:rsidP="005113EF">
      <w:pPr>
        <w:widowControl/>
        <w:spacing w:line="240" w:lineRule="exact"/>
        <w:jc w:val="left"/>
        <w:rPr>
          <w:rFonts w:ascii="Arial" w:hAnsi="Arial" w:cs="Arial"/>
          <w:sz w:val="20"/>
          <w:szCs w:val="21"/>
        </w:rPr>
      </w:pPr>
      <w:r w:rsidRPr="00894F13">
        <w:rPr>
          <w:rFonts w:ascii="Arial" w:hAnsi="Arial" w:cs="Arial"/>
          <w:sz w:val="20"/>
          <w:szCs w:val="21"/>
        </w:rPr>
        <w:t>3. Difference between non-consolidated business forecasts and actual results</w:t>
      </w:r>
    </w:p>
    <w:p w14:paraId="75E77EA8" w14:textId="50D71BE1" w:rsidR="00AC0C7C" w:rsidRPr="00894F13" w:rsidRDefault="00252EF2" w:rsidP="005113EF">
      <w:pPr>
        <w:spacing w:afterLines="30" w:after="108" w:line="240" w:lineRule="exact"/>
        <w:ind w:left="284"/>
        <w:rPr>
          <w:rFonts w:ascii="Arial" w:hAnsi="Arial" w:cs="Arial"/>
          <w:sz w:val="20"/>
          <w:szCs w:val="21"/>
        </w:rPr>
      </w:pPr>
      <w:r w:rsidRPr="00894F13">
        <w:rPr>
          <w:rFonts w:ascii="Arial" w:hAnsi="Arial" w:cs="Arial"/>
          <w:sz w:val="20"/>
          <w:szCs w:val="21"/>
        </w:rPr>
        <w:t>Difference between non-consolidated business forecasts and actual results for the second quarter of the fiscal year ending December 2021 (January 1, 2021 - June 30, 2021)</w:t>
      </w:r>
    </w:p>
    <w:tbl>
      <w:tblPr>
        <w:tblStyle w:val="af1"/>
        <w:tblW w:w="9497" w:type="dxa"/>
        <w:tblInd w:w="137" w:type="dxa"/>
        <w:tblLook w:val="04A0" w:firstRow="1" w:lastRow="0" w:firstColumn="1" w:lastColumn="0" w:noHBand="0" w:noVBand="1"/>
      </w:tblPr>
      <w:tblGrid>
        <w:gridCol w:w="2869"/>
        <w:gridCol w:w="1657"/>
        <w:gridCol w:w="1657"/>
        <w:gridCol w:w="1657"/>
        <w:gridCol w:w="1657"/>
      </w:tblGrid>
      <w:tr w:rsidR="00252EF2" w:rsidRPr="00B3104E" w14:paraId="316D16CD" w14:textId="77777777" w:rsidTr="00971646">
        <w:trPr>
          <w:trHeight w:val="730"/>
        </w:trPr>
        <w:tc>
          <w:tcPr>
            <w:tcW w:w="2869" w:type="dxa"/>
          </w:tcPr>
          <w:p w14:paraId="33DAEF10" w14:textId="77777777" w:rsidR="00252EF2" w:rsidRPr="00B3104E" w:rsidRDefault="00252EF2" w:rsidP="00040EA9">
            <w:pPr>
              <w:ind w:leftChars="14" w:left="425" w:hangingChars="198" w:hanging="396"/>
              <w:rPr>
                <w:rFonts w:ascii="Arial" w:hAnsi="Arial" w:cs="Arial"/>
              </w:rPr>
            </w:pPr>
          </w:p>
        </w:tc>
        <w:tc>
          <w:tcPr>
            <w:tcW w:w="1657" w:type="dxa"/>
            <w:vAlign w:val="center"/>
          </w:tcPr>
          <w:p w14:paraId="5E70962F" w14:textId="77777777" w:rsidR="00252EF2" w:rsidRPr="00894F13" w:rsidRDefault="00252EF2" w:rsidP="005113EF">
            <w:pPr>
              <w:spacing w:line="240" w:lineRule="exact"/>
              <w:ind w:leftChars="14" w:left="29"/>
              <w:jc w:val="center"/>
              <w:rPr>
                <w:rFonts w:ascii="Arial" w:hAnsi="Arial" w:cs="Arial"/>
                <w:szCs w:val="21"/>
              </w:rPr>
            </w:pPr>
            <w:r w:rsidRPr="00894F13">
              <w:rPr>
                <w:rFonts w:ascii="Arial" w:hAnsi="Arial" w:cs="Arial"/>
                <w:szCs w:val="21"/>
              </w:rPr>
              <w:t>Net sales</w:t>
            </w:r>
          </w:p>
        </w:tc>
        <w:tc>
          <w:tcPr>
            <w:tcW w:w="1657" w:type="dxa"/>
            <w:vAlign w:val="center"/>
          </w:tcPr>
          <w:p w14:paraId="13C483ED" w14:textId="77777777" w:rsidR="00252EF2" w:rsidRPr="00894F13" w:rsidRDefault="00252EF2" w:rsidP="005113EF">
            <w:pPr>
              <w:spacing w:line="240" w:lineRule="exact"/>
              <w:ind w:leftChars="14" w:left="29"/>
              <w:jc w:val="center"/>
              <w:rPr>
                <w:rFonts w:ascii="Arial" w:hAnsi="Arial" w:cs="Arial"/>
                <w:szCs w:val="21"/>
              </w:rPr>
            </w:pPr>
            <w:r w:rsidRPr="00894F13">
              <w:rPr>
                <w:rFonts w:ascii="Arial" w:hAnsi="Arial" w:cs="Arial"/>
                <w:szCs w:val="21"/>
              </w:rPr>
              <w:t>Ordinary Income</w:t>
            </w:r>
          </w:p>
        </w:tc>
        <w:tc>
          <w:tcPr>
            <w:tcW w:w="1657" w:type="dxa"/>
            <w:vAlign w:val="center"/>
          </w:tcPr>
          <w:p w14:paraId="5C201912" w14:textId="269DD313" w:rsidR="00252EF2" w:rsidRPr="00894F13" w:rsidRDefault="00AC0C7C" w:rsidP="005113EF">
            <w:pPr>
              <w:spacing w:line="240" w:lineRule="exact"/>
              <w:ind w:leftChars="14" w:left="29"/>
              <w:jc w:val="center"/>
              <w:rPr>
                <w:rFonts w:ascii="Arial" w:hAnsi="Arial" w:cs="Arial"/>
                <w:szCs w:val="21"/>
              </w:rPr>
            </w:pPr>
            <w:r w:rsidRPr="00894F13">
              <w:rPr>
                <w:rFonts w:ascii="Arial" w:hAnsi="Arial" w:cs="Arial"/>
                <w:szCs w:val="21"/>
              </w:rPr>
              <w:t>Net income</w:t>
            </w:r>
          </w:p>
        </w:tc>
        <w:tc>
          <w:tcPr>
            <w:tcW w:w="1657" w:type="dxa"/>
            <w:vAlign w:val="center"/>
          </w:tcPr>
          <w:p w14:paraId="6306457F" w14:textId="77777777" w:rsidR="00971646" w:rsidRPr="00894F13" w:rsidRDefault="00252EF2" w:rsidP="005113EF">
            <w:pPr>
              <w:spacing w:line="240" w:lineRule="exact"/>
              <w:ind w:leftChars="14" w:left="29"/>
              <w:jc w:val="center"/>
              <w:rPr>
                <w:rFonts w:ascii="Arial" w:hAnsi="Arial" w:cs="Arial"/>
                <w:szCs w:val="21"/>
              </w:rPr>
            </w:pPr>
            <w:r w:rsidRPr="00894F13">
              <w:rPr>
                <w:rFonts w:ascii="Arial" w:hAnsi="Arial" w:cs="Arial"/>
                <w:szCs w:val="21"/>
              </w:rPr>
              <w:t xml:space="preserve">Net income </w:t>
            </w:r>
          </w:p>
          <w:p w14:paraId="7153A851" w14:textId="133E95D2" w:rsidR="00252EF2" w:rsidRPr="00894F13" w:rsidRDefault="00252EF2" w:rsidP="005113EF">
            <w:pPr>
              <w:spacing w:line="240" w:lineRule="exact"/>
              <w:ind w:leftChars="14" w:left="29"/>
              <w:jc w:val="center"/>
              <w:rPr>
                <w:rFonts w:ascii="Arial" w:hAnsi="Arial" w:cs="Arial"/>
                <w:szCs w:val="21"/>
              </w:rPr>
            </w:pPr>
            <w:r w:rsidRPr="00894F13">
              <w:rPr>
                <w:rFonts w:ascii="Arial" w:hAnsi="Arial" w:cs="Arial"/>
                <w:szCs w:val="21"/>
              </w:rPr>
              <w:t>per share</w:t>
            </w:r>
          </w:p>
        </w:tc>
      </w:tr>
      <w:tr w:rsidR="00D40EF4" w:rsidRPr="00B3104E" w14:paraId="2C780FBC" w14:textId="77777777" w:rsidTr="00D40EF4">
        <w:trPr>
          <w:trHeight w:val="188"/>
        </w:trPr>
        <w:tc>
          <w:tcPr>
            <w:tcW w:w="2869" w:type="dxa"/>
            <w:vMerge w:val="restart"/>
            <w:vAlign w:val="center"/>
          </w:tcPr>
          <w:p w14:paraId="41107530" w14:textId="77777777" w:rsidR="00D40EF4" w:rsidRPr="00894F13" w:rsidRDefault="00D40EF4" w:rsidP="005113EF">
            <w:pPr>
              <w:spacing w:line="240" w:lineRule="exact"/>
              <w:ind w:leftChars="14" w:left="29"/>
              <w:jc w:val="left"/>
              <w:rPr>
                <w:rFonts w:ascii="Arial" w:hAnsi="Arial" w:cs="Arial"/>
                <w:szCs w:val="21"/>
              </w:rPr>
            </w:pPr>
            <w:r w:rsidRPr="00894F13">
              <w:rPr>
                <w:rFonts w:ascii="Arial" w:hAnsi="Arial" w:cs="Arial"/>
                <w:szCs w:val="21"/>
              </w:rPr>
              <w:t>Previous forecasts (A)</w:t>
            </w:r>
          </w:p>
          <w:p w14:paraId="2F6C8D8D" w14:textId="33CCE83B" w:rsidR="00D40EF4" w:rsidRPr="00894F13" w:rsidRDefault="00D40EF4" w:rsidP="005113EF">
            <w:pPr>
              <w:spacing w:line="240" w:lineRule="exact"/>
              <w:ind w:leftChars="14" w:left="29"/>
              <w:jc w:val="left"/>
              <w:rPr>
                <w:rFonts w:ascii="Arial" w:hAnsi="Arial" w:cs="Arial"/>
                <w:szCs w:val="21"/>
              </w:rPr>
            </w:pPr>
            <w:r w:rsidRPr="00894F13">
              <w:rPr>
                <w:rFonts w:ascii="Arial" w:hAnsi="Arial" w:cs="Arial"/>
                <w:szCs w:val="21"/>
              </w:rPr>
              <w:t>(announced on February 12, 2021)</w:t>
            </w:r>
          </w:p>
        </w:tc>
        <w:tc>
          <w:tcPr>
            <w:tcW w:w="1657" w:type="dxa"/>
            <w:tcBorders>
              <w:bottom w:val="nil"/>
            </w:tcBorders>
          </w:tcPr>
          <w:p w14:paraId="144523C4" w14:textId="7F317605" w:rsidR="00D40EF4" w:rsidRPr="00894F13" w:rsidRDefault="00D40EF4" w:rsidP="00040EA9">
            <w:pPr>
              <w:ind w:leftChars="14" w:left="29"/>
              <w:jc w:val="right"/>
              <w:rPr>
                <w:rFonts w:ascii="Arial" w:hAnsi="Arial" w:cs="Arial"/>
                <w:szCs w:val="21"/>
              </w:rPr>
            </w:pPr>
            <w:r w:rsidRPr="00894F13">
              <w:rPr>
                <w:rFonts w:ascii="Arial" w:hAnsi="Arial" w:cs="Arial"/>
                <w:sz w:val="18"/>
              </w:rPr>
              <w:t>Million yen</w:t>
            </w:r>
          </w:p>
        </w:tc>
        <w:tc>
          <w:tcPr>
            <w:tcW w:w="1657" w:type="dxa"/>
            <w:tcBorders>
              <w:bottom w:val="nil"/>
            </w:tcBorders>
          </w:tcPr>
          <w:p w14:paraId="497772AD" w14:textId="30D66A9F" w:rsidR="00D40EF4" w:rsidRPr="00894F13" w:rsidRDefault="00D40EF4" w:rsidP="00040EA9">
            <w:pPr>
              <w:ind w:leftChars="14" w:left="29"/>
              <w:jc w:val="right"/>
              <w:rPr>
                <w:rFonts w:ascii="Arial" w:hAnsi="Arial" w:cs="Arial"/>
                <w:szCs w:val="21"/>
              </w:rPr>
            </w:pPr>
            <w:r w:rsidRPr="00894F13">
              <w:rPr>
                <w:rFonts w:ascii="Arial" w:hAnsi="Arial" w:cs="Arial"/>
                <w:sz w:val="18"/>
              </w:rPr>
              <w:t>Million yen</w:t>
            </w:r>
          </w:p>
        </w:tc>
        <w:tc>
          <w:tcPr>
            <w:tcW w:w="1657" w:type="dxa"/>
            <w:tcBorders>
              <w:bottom w:val="nil"/>
            </w:tcBorders>
          </w:tcPr>
          <w:p w14:paraId="2742CE36" w14:textId="018797E0" w:rsidR="00D40EF4" w:rsidRPr="00894F13" w:rsidRDefault="00D40EF4" w:rsidP="00040EA9">
            <w:pPr>
              <w:ind w:leftChars="14" w:left="29"/>
              <w:jc w:val="right"/>
              <w:rPr>
                <w:rFonts w:ascii="Arial" w:hAnsi="Arial" w:cs="Arial"/>
                <w:szCs w:val="21"/>
              </w:rPr>
            </w:pPr>
            <w:r w:rsidRPr="00894F13">
              <w:rPr>
                <w:rFonts w:ascii="Arial" w:hAnsi="Arial" w:cs="Arial"/>
                <w:sz w:val="18"/>
              </w:rPr>
              <w:t>Million yen</w:t>
            </w:r>
          </w:p>
        </w:tc>
        <w:tc>
          <w:tcPr>
            <w:tcW w:w="1657" w:type="dxa"/>
            <w:tcBorders>
              <w:bottom w:val="nil"/>
            </w:tcBorders>
          </w:tcPr>
          <w:p w14:paraId="6451AD73" w14:textId="5948A4ED" w:rsidR="00D40EF4" w:rsidRPr="00894F13" w:rsidRDefault="00D40EF4" w:rsidP="00040EA9">
            <w:pPr>
              <w:wordWrap w:val="0"/>
              <w:ind w:leftChars="14" w:left="29"/>
              <w:jc w:val="right"/>
              <w:rPr>
                <w:rFonts w:ascii="Arial" w:hAnsi="Arial" w:cs="Arial"/>
                <w:szCs w:val="21"/>
              </w:rPr>
            </w:pPr>
            <w:r w:rsidRPr="00D40EF4">
              <w:rPr>
                <w:rFonts w:ascii="Arial" w:hAnsi="Arial" w:cs="Arial"/>
                <w:sz w:val="18"/>
              </w:rPr>
              <w:t>Yen</w:t>
            </w:r>
          </w:p>
        </w:tc>
      </w:tr>
      <w:tr w:rsidR="00D40EF4" w:rsidRPr="00B3104E" w14:paraId="0029AD7E" w14:textId="77777777" w:rsidTr="00D40EF4">
        <w:trPr>
          <w:trHeight w:val="651"/>
        </w:trPr>
        <w:tc>
          <w:tcPr>
            <w:tcW w:w="2869" w:type="dxa"/>
            <w:vMerge/>
            <w:vAlign w:val="center"/>
          </w:tcPr>
          <w:p w14:paraId="495499DE" w14:textId="77777777" w:rsidR="00D40EF4" w:rsidRPr="00894F13" w:rsidRDefault="00D40EF4" w:rsidP="005113EF">
            <w:pPr>
              <w:spacing w:line="240" w:lineRule="exact"/>
              <w:ind w:leftChars="14" w:left="29"/>
              <w:jc w:val="left"/>
              <w:rPr>
                <w:rFonts w:ascii="Arial" w:hAnsi="Arial" w:cs="Arial"/>
                <w:szCs w:val="21"/>
              </w:rPr>
            </w:pPr>
          </w:p>
        </w:tc>
        <w:tc>
          <w:tcPr>
            <w:tcW w:w="1657" w:type="dxa"/>
            <w:tcBorders>
              <w:top w:val="nil"/>
            </w:tcBorders>
            <w:vAlign w:val="center"/>
          </w:tcPr>
          <w:p w14:paraId="4D9FBBBB" w14:textId="77777777" w:rsidR="00D40EF4" w:rsidRPr="00894F13" w:rsidRDefault="00D40EF4" w:rsidP="00D40EF4">
            <w:pPr>
              <w:ind w:rightChars="10" w:right="21"/>
              <w:jc w:val="right"/>
              <w:rPr>
                <w:rFonts w:ascii="Arial" w:hAnsi="Arial" w:cs="Arial"/>
                <w:sz w:val="18"/>
              </w:rPr>
            </w:pPr>
            <w:r w:rsidRPr="00894F13">
              <w:rPr>
                <w:rFonts w:ascii="Arial" w:hAnsi="Arial" w:cs="Arial"/>
                <w:szCs w:val="21"/>
              </w:rPr>
              <w:t>7,695</w:t>
            </w:r>
          </w:p>
        </w:tc>
        <w:tc>
          <w:tcPr>
            <w:tcW w:w="1657" w:type="dxa"/>
            <w:tcBorders>
              <w:top w:val="nil"/>
            </w:tcBorders>
            <w:vAlign w:val="center"/>
          </w:tcPr>
          <w:p w14:paraId="03F1C5DC" w14:textId="77777777" w:rsidR="00D40EF4" w:rsidRPr="00894F13" w:rsidRDefault="00D40EF4" w:rsidP="00D40EF4">
            <w:pPr>
              <w:ind w:rightChars="10" w:right="21"/>
              <w:jc w:val="right"/>
              <w:rPr>
                <w:rFonts w:ascii="Arial" w:hAnsi="Arial" w:cs="Arial"/>
                <w:sz w:val="18"/>
              </w:rPr>
            </w:pPr>
            <w:r w:rsidRPr="00894F13">
              <w:rPr>
                <w:rFonts w:ascii="Arial" w:hAnsi="Arial" w:cs="Arial"/>
                <w:szCs w:val="21"/>
              </w:rPr>
              <w:t>214</w:t>
            </w:r>
          </w:p>
        </w:tc>
        <w:tc>
          <w:tcPr>
            <w:tcW w:w="1657" w:type="dxa"/>
            <w:tcBorders>
              <w:top w:val="nil"/>
            </w:tcBorders>
            <w:vAlign w:val="center"/>
          </w:tcPr>
          <w:p w14:paraId="6D4042FD" w14:textId="77777777" w:rsidR="00D40EF4" w:rsidRPr="00894F13" w:rsidRDefault="00D40EF4" w:rsidP="00D40EF4">
            <w:pPr>
              <w:ind w:rightChars="10" w:right="21"/>
              <w:jc w:val="right"/>
              <w:rPr>
                <w:rFonts w:ascii="Arial" w:hAnsi="Arial" w:cs="Arial"/>
                <w:sz w:val="18"/>
              </w:rPr>
            </w:pPr>
            <w:r w:rsidRPr="00894F13">
              <w:rPr>
                <w:rFonts w:ascii="Arial" w:hAnsi="Arial" w:cs="Arial"/>
                <w:szCs w:val="21"/>
              </w:rPr>
              <w:t>60</w:t>
            </w:r>
          </w:p>
        </w:tc>
        <w:tc>
          <w:tcPr>
            <w:tcW w:w="1657" w:type="dxa"/>
            <w:tcBorders>
              <w:top w:val="nil"/>
            </w:tcBorders>
            <w:vAlign w:val="center"/>
          </w:tcPr>
          <w:p w14:paraId="5556DB58" w14:textId="77777777" w:rsidR="00D40EF4" w:rsidRPr="00894F13" w:rsidRDefault="00D40EF4" w:rsidP="00D40EF4">
            <w:pPr>
              <w:ind w:rightChars="10" w:right="21"/>
              <w:jc w:val="right"/>
              <w:rPr>
                <w:rFonts w:ascii="Arial" w:hAnsi="Arial" w:cs="Arial"/>
                <w:szCs w:val="21"/>
              </w:rPr>
            </w:pPr>
            <w:r w:rsidRPr="00894F13">
              <w:rPr>
                <w:rFonts w:ascii="Arial" w:hAnsi="Arial" w:cs="Arial"/>
                <w:szCs w:val="21"/>
              </w:rPr>
              <w:t>7.14</w:t>
            </w:r>
          </w:p>
        </w:tc>
      </w:tr>
      <w:tr w:rsidR="00252EF2" w:rsidRPr="00B3104E" w14:paraId="575379F2" w14:textId="77777777" w:rsidTr="00D40EF4">
        <w:trPr>
          <w:trHeight w:val="537"/>
        </w:trPr>
        <w:tc>
          <w:tcPr>
            <w:tcW w:w="2869" w:type="dxa"/>
            <w:vAlign w:val="center"/>
          </w:tcPr>
          <w:p w14:paraId="15007BE9" w14:textId="7F20AECF" w:rsidR="00252EF2" w:rsidRPr="00894F13" w:rsidRDefault="00252EF2" w:rsidP="005113EF">
            <w:pPr>
              <w:spacing w:line="240" w:lineRule="exact"/>
              <w:ind w:leftChars="14" w:left="29"/>
              <w:jc w:val="left"/>
              <w:rPr>
                <w:rFonts w:ascii="Arial" w:hAnsi="Arial" w:cs="Arial"/>
                <w:szCs w:val="21"/>
              </w:rPr>
            </w:pPr>
            <w:r w:rsidRPr="00894F13">
              <w:rPr>
                <w:rFonts w:ascii="Arial" w:hAnsi="Arial" w:cs="Arial"/>
                <w:szCs w:val="21"/>
              </w:rPr>
              <w:t>Actual results (B)</w:t>
            </w:r>
          </w:p>
        </w:tc>
        <w:tc>
          <w:tcPr>
            <w:tcW w:w="1657" w:type="dxa"/>
            <w:vAlign w:val="center"/>
          </w:tcPr>
          <w:p w14:paraId="4E9E609A" w14:textId="273DD57F" w:rsidR="00252EF2" w:rsidRPr="00894F13" w:rsidRDefault="006A5BEA" w:rsidP="00D40EF4">
            <w:pPr>
              <w:ind w:leftChars="14" w:left="29" w:rightChars="10" w:right="21"/>
              <w:jc w:val="right"/>
              <w:rPr>
                <w:rFonts w:ascii="Arial" w:hAnsi="Arial" w:cs="Arial"/>
                <w:szCs w:val="21"/>
              </w:rPr>
            </w:pPr>
            <w:r w:rsidRPr="00894F13">
              <w:rPr>
                <w:rFonts w:ascii="Arial" w:hAnsi="Arial" w:cs="Arial"/>
                <w:szCs w:val="21"/>
              </w:rPr>
              <w:t>8,605</w:t>
            </w:r>
          </w:p>
        </w:tc>
        <w:tc>
          <w:tcPr>
            <w:tcW w:w="1657" w:type="dxa"/>
            <w:vAlign w:val="center"/>
          </w:tcPr>
          <w:p w14:paraId="2CECCE4F" w14:textId="57F62FE0" w:rsidR="00252EF2" w:rsidRPr="00894F13" w:rsidRDefault="0024534C" w:rsidP="00D40EF4">
            <w:pPr>
              <w:ind w:leftChars="14" w:left="29" w:rightChars="10" w:right="21"/>
              <w:jc w:val="right"/>
              <w:rPr>
                <w:rFonts w:ascii="Arial" w:hAnsi="Arial" w:cs="Arial"/>
                <w:szCs w:val="21"/>
              </w:rPr>
            </w:pPr>
            <w:r w:rsidRPr="00894F13">
              <w:rPr>
                <w:rFonts w:ascii="Arial" w:hAnsi="Arial" w:cs="Arial"/>
                <w:szCs w:val="21"/>
              </w:rPr>
              <w:t>542</w:t>
            </w:r>
          </w:p>
        </w:tc>
        <w:tc>
          <w:tcPr>
            <w:tcW w:w="1657" w:type="dxa"/>
            <w:vAlign w:val="center"/>
          </w:tcPr>
          <w:p w14:paraId="13B388CA" w14:textId="2497E217" w:rsidR="00252EF2" w:rsidRPr="00894F13" w:rsidRDefault="0024534C" w:rsidP="00D40EF4">
            <w:pPr>
              <w:ind w:leftChars="14" w:left="29" w:rightChars="10" w:right="21"/>
              <w:jc w:val="right"/>
              <w:rPr>
                <w:rFonts w:ascii="Arial" w:hAnsi="Arial" w:cs="Arial"/>
                <w:szCs w:val="21"/>
              </w:rPr>
            </w:pPr>
            <w:r w:rsidRPr="00894F13">
              <w:rPr>
                <w:rFonts w:ascii="Arial" w:hAnsi="Arial" w:cs="Arial"/>
                <w:szCs w:val="21"/>
              </w:rPr>
              <w:t>313</w:t>
            </w:r>
          </w:p>
        </w:tc>
        <w:tc>
          <w:tcPr>
            <w:tcW w:w="1657" w:type="dxa"/>
            <w:vAlign w:val="center"/>
          </w:tcPr>
          <w:p w14:paraId="699369EC" w14:textId="12626EAA" w:rsidR="00252EF2" w:rsidRPr="00894F13" w:rsidRDefault="0024534C" w:rsidP="00D40EF4">
            <w:pPr>
              <w:ind w:leftChars="14" w:left="29" w:rightChars="10" w:right="21"/>
              <w:jc w:val="right"/>
              <w:rPr>
                <w:rFonts w:ascii="Arial" w:hAnsi="Arial" w:cs="Arial"/>
                <w:szCs w:val="21"/>
              </w:rPr>
            </w:pPr>
            <w:r w:rsidRPr="00894F13">
              <w:rPr>
                <w:rFonts w:ascii="Arial" w:hAnsi="Arial" w:cs="Arial"/>
                <w:szCs w:val="21"/>
              </w:rPr>
              <w:t>37.01</w:t>
            </w:r>
          </w:p>
        </w:tc>
      </w:tr>
      <w:tr w:rsidR="00894F13" w:rsidRPr="00B3104E" w14:paraId="2253BF26" w14:textId="77777777" w:rsidTr="00D40EF4">
        <w:trPr>
          <w:trHeight w:val="585"/>
        </w:trPr>
        <w:tc>
          <w:tcPr>
            <w:tcW w:w="2869" w:type="dxa"/>
            <w:vAlign w:val="center"/>
          </w:tcPr>
          <w:p w14:paraId="033F3E3B" w14:textId="77777777" w:rsidR="00894F13" w:rsidRPr="00894F13" w:rsidRDefault="00894F13" w:rsidP="00894F13">
            <w:pPr>
              <w:spacing w:line="240" w:lineRule="exact"/>
              <w:ind w:leftChars="14" w:left="29"/>
              <w:jc w:val="left"/>
              <w:rPr>
                <w:rFonts w:ascii="Arial" w:hAnsi="Arial" w:cs="Arial"/>
              </w:rPr>
            </w:pPr>
            <w:r w:rsidRPr="00894F13">
              <w:rPr>
                <w:rFonts w:ascii="Arial" w:hAnsi="Arial" w:cs="Arial"/>
              </w:rPr>
              <w:t>Increase/decrease</w:t>
            </w:r>
          </w:p>
          <w:p w14:paraId="387A1261" w14:textId="2C43066C" w:rsidR="00894F13" w:rsidRPr="00894F13" w:rsidRDefault="00894F13" w:rsidP="00894F13">
            <w:pPr>
              <w:spacing w:line="240" w:lineRule="exact"/>
              <w:ind w:leftChars="14" w:left="29"/>
              <w:jc w:val="left"/>
              <w:rPr>
                <w:rFonts w:ascii="Arial" w:hAnsi="Arial" w:cs="Arial"/>
                <w:szCs w:val="21"/>
              </w:rPr>
            </w:pPr>
            <w:r w:rsidRPr="00894F13">
              <w:rPr>
                <w:rFonts w:ascii="Arial" w:hAnsi="Arial" w:cs="Arial"/>
              </w:rPr>
              <w:t>(B-A)</w:t>
            </w:r>
          </w:p>
        </w:tc>
        <w:tc>
          <w:tcPr>
            <w:tcW w:w="1657" w:type="dxa"/>
            <w:vAlign w:val="center"/>
          </w:tcPr>
          <w:p w14:paraId="3E1FE86F" w14:textId="03966099"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909</w:t>
            </w:r>
          </w:p>
        </w:tc>
        <w:tc>
          <w:tcPr>
            <w:tcW w:w="1657" w:type="dxa"/>
            <w:vAlign w:val="center"/>
          </w:tcPr>
          <w:p w14:paraId="6924B1F4" w14:textId="0614BF3F"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327</w:t>
            </w:r>
          </w:p>
        </w:tc>
        <w:tc>
          <w:tcPr>
            <w:tcW w:w="1657" w:type="dxa"/>
            <w:vAlign w:val="center"/>
          </w:tcPr>
          <w:p w14:paraId="3FCBD05B" w14:textId="6FC3BCAC"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253</w:t>
            </w:r>
          </w:p>
        </w:tc>
        <w:tc>
          <w:tcPr>
            <w:tcW w:w="1657" w:type="dxa"/>
            <w:shd w:val="clear" w:color="auto" w:fill="D9D9D9" w:themeFill="background1" w:themeFillShade="D9"/>
            <w:vAlign w:val="center"/>
          </w:tcPr>
          <w:p w14:paraId="0905106C" w14:textId="77777777" w:rsidR="00894F13" w:rsidRPr="00894F13" w:rsidRDefault="00894F13" w:rsidP="00D40EF4">
            <w:pPr>
              <w:ind w:leftChars="14" w:left="29" w:rightChars="10" w:right="21"/>
              <w:jc w:val="right"/>
              <w:rPr>
                <w:rFonts w:ascii="Arial" w:hAnsi="Arial" w:cs="Arial"/>
                <w:szCs w:val="21"/>
              </w:rPr>
            </w:pPr>
          </w:p>
        </w:tc>
      </w:tr>
      <w:tr w:rsidR="00894F13" w:rsidRPr="00B3104E" w14:paraId="63ED5BFB" w14:textId="77777777" w:rsidTr="00D40EF4">
        <w:trPr>
          <w:trHeight w:val="491"/>
        </w:trPr>
        <w:tc>
          <w:tcPr>
            <w:tcW w:w="2869" w:type="dxa"/>
            <w:vAlign w:val="center"/>
          </w:tcPr>
          <w:p w14:paraId="01D8EC53" w14:textId="764E071F" w:rsidR="00894F13" w:rsidRPr="00894F13" w:rsidRDefault="00894F13" w:rsidP="00894F13">
            <w:pPr>
              <w:spacing w:line="240" w:lineRule="exact"/>
              <w:ind w:leftChars="14" w:left="29"/>
              <w:jc w:val="left"/>
              <w:rPr>
                <w:rFonts w:ascii="Arial" w:hAnsi="Arial" w:cs="Arial"/>
                <w:szCs w:val="21"/>
              </w:rPr>
            </w:pPr>
            <w:r w:rsidRPr="00894F13">
              <w:rPr>
                <w:rFonts w:ascii="Arial" w:hAnsi="Arial" w:cs="Arial"/>
              </w:rPr>
              <w:t>Change rate (%)</w:t>
            </w:r>
          </w:p>
        </w:tc>
        <w:tc>
          <w:tcPr>
            <w:tcW w:w="1657" w:type="dxa"/>
            <w:vAlign w:val="center"/>
          </w:tcPr>
          <w:p w14:paraId="79EEE59E" w14:textId="3781867E"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11.8</w:t>
            </w:r>
          </w:p>
        </w:tc>
        <w:tc>
          <w:tcPr>
            <w:tcW w:w="1657" w:type="dxa"/>
            <w:vAlign w:val="center"/>
          </w:tcPr>
          <w:p w14:paraId="5CEBEAD1" w14:textId="09767C85"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152.8</w:t>
            </w:r>
          </w:p>
        </w:tc>
        <w:tc>
          <w:tcPr>
            <w:tcW w:w="1657" w:type="dxa"/>
            <w:vAlign w:val="center"/>
          </w:tcPr>
          <w:p w14:paraId="619C2D9D" w14:textId="450BFEFA"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420.9</w:t>
            </w:r>
          </w:p>
        </w:tc>
        <w:tc>
          <w:tcPr>
            <w:tcW w:w="1657" w:type="dxa"/>
            <w:shd w:val="clear" w:color="auto" w:fill="D9D9D9" w:themeFill="background1" w:themeFillShade="D9"/>
            <w:vAlign w:val="center"/>
          </w:tcPr>
          <w:p w14:paraId="3F8ECA22" w14:textId="77777777" w:rsidR="00894F13" w:rsidRPr="00894F13" w:rsidRDefault="00894F13" w:rsidP="00D40EF4">
            <w:pPr>
              <w:ind w:leftChars="14" w:left="29" w:rightChars="10" w:right="21"/>
              <w:jc w:val="right"/>
              <w:rPr>
                <w:rFonts w:ascii="Arial" w:hAnsi="Arial" w:cs="Arial"/>
                <w:szCs w:val="21"/>
              </w:rPr>
            </w:pPr>
          </w:p>
        </w:tc>
      </w:tr>
      <w:tr w:rsidR="00894F13" w:rsidRPr="00B3104E" w14:paraId="3941746E" w14:textId="77777777" w:rsidTr="00D40EF4">
        <w:trPr>
          <w:trHeight w:val="979"/>
        </w:trPr>
        <w:tc>
          <w:tcPr>
            <w:tcW w:w="2869" w:type="dxa"/>
            <w:vAlign w:val="center"/>
          </w:tcPr>
          <w:p w14:paraId="3041F30F" w14:textId="77777777" w:rsidR="00894F13" w:rsidRPr="00894F13" w:rsidRDefault="00894F13" w:rsidP="00894F13">
            <w:pPr>
              <w:spacing w:line="240" w:lineRule="exact"/>
              <w:ind w:leftChars="14" w:left="29"/>
              <w:jc w:val="left"/>
              <w:rPr>
                <w:rFonts w:ascii="Arial" w:hAnsi="Arial" w:cs="Arial"/>
                <w:szCs w:val="21"/>
              </w:rPr>
            </w:pPr>
            <w:r w:rsidRPr="00894F13">
              <w:rPr>
                <w:rFonts w:ascii="Arial" w:hAnsi="Arial" w:cs="Arial"/>
                <w:szCs w:val="21"/>
              </w:rPr>
              <w:t xml:space="preserve">(Reference) </w:t>
            </w:r>
          </w:p>
          <w:p w14:paraId="23EEA006" w14:textId="1BD62FEF" w:rsidR="00894F13" w:rsidRPr="00894F13" w:rsidRDefault="00894F13" w:rsidP="00894F13">
            <w:pPr>
              <w:spacing w:line="240" w:lineRule="exact"/>
              <w:ind w:leftChars="14" w:left="29"/>
              <w:jc w:val="left"/>
              <w:rPr>
                <w:rFonts w:ascii="Arial" w:hAnsi="Arial" w:cs="Arial"/>
                <w:szCs w:val="21"/>
              </w:rPr>
            </w:pPr>
            <w:r w:rsidRPr="00894F13">
              <w:rPr>
                <w:rFonts w:ascii="Arial" w:hAnsi="Arial" w:cs="Arial"/>
                <w:szCs w:val="21"/>
              </w:rPr>
              <w:t xml:space="preserve">Previous </w:t>
            </w:r>
            <w:r>
              <w:rPr>
                <w:rFonts w:ascii="Arial" w:hAnsi="Arial" w:cs="Arial"/>
                <w:szCs w:val="21"/>
              </w:rPr>
              <w:t xml:space="preserve">Q2 </w:t>
            </w:r>
            <w:r w:rsidRPr="00894F13">
              <w:rPr>
                <w:rFonts w:ascii="Arial" w:hAnsi="Arial" w:cs="Arial"/>
                <w:szCs w:val="21"/>
              </w:rPr>
              <w:t>results</w:t>
            </w:r>
          </w:p>
          <w:p w14:paraId="147DD8FA" w14:textId="560423C2" w:rsidR="00894F13" w:rsidRPr="00894F13" w:rsidRDefault="00894F13" w:rsidP="00894F13">
            <w:pPr>
              <w:spacing w:line="240" w:lineRule="exact"/>
              <w:ind w:leftChars="14" w:left="29"/>
              <w:jc w:val="left"/>
              <w:rPr>
                <w:rFonts w:ascii="Arial" w:hAnsi="Arial" w:cs="Arial"/>
                <w:szCs w:val="21"/>
              </w:rPr>
            </w:pPr>
            <w:r w:rsidRPr="00894F13">
              <w:rPr>
                <w:rFonts w:ascii="Arial" w:hAnsi="Arial" w:cs="Arial"/>
                <w:szCs w:val="21"/>
              </w:rPr>
              <w:t>(FY12/20 Q2)</w:t>
            </w:r>
          </w:p>
        </w:tc>
        <w:tc>
          <w:tcPr>
            <w:tcW w:w="1657" w:type="dxa"/>
            <w:vAlign w:val="center"/>
          </w:tcPr>
          <w:p w14:paraId="3AF9BDA5" w14:textId="05E0A856"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7,431</w:t>
            </w:r>
          </w:p>
        </w:tc>
        <w:tc>
          <w:tcPr>
            <w:tcW w:w="1657" w:type="dxa"/>
            <w:vAlign w:val="center"/>
          </w:tcPr>
          <w:p w14:paraId="19ED4014" w14:textId="7A4B9EE3"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293</w:t>
            </w:r>
          </w:p>
        </w:tc>
        <w:tc>
          <w:tcPr>
            <w:tcW w:w="1657" w:type="dxa"/>
            <w:vAlign w:val="center"/>
          </w:tcPr>
          <w:p w14:paraId="3DC010A3" w14:textId="222016DA"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184</w:t>
            </w:r>
          </w:p>
        </w:tc>
        <w:tc>
          <w:tcPr>
            <w:tcW w:w="1657" w:type="dxa"/>
            <w:vAlign w:val="center"/>
          </w:tcPr>
          <w:p w14:paraId="0C4B2119" w14:textId="71B6E157" w:rsidR="00894F13" w:rsidRPr="00894F13" w:rsidRDefault="00894F13" w:rsidP="00D40EF4">
            <w:pPr>
              <w:ind w:leftChars="14" w:left="29" w:rightChars="10" w:right="21"/>
              <w:jc w:val="right"/>
              <w:rPr>
                <w:rFonts w:ascii="Arial" w:hAnsi="Arial" w:cs="Arial"/>
                <w:szCs w:val="21"/>
              </w:rPr>
            </w:pPr>
            <w:r w:rsidRPr="00894F13">
              <w:rPr>
                <w:rFonts w:ascii="Arial" w:hAnsi="Arial" w:cs="Arial"/>
                <w:szCs w:val="21"/>
              </w:rPr>
              <w:t>21.75</w:t>
            </w:r>
          </w:p>
        </w:tc>
      </w:tr>
    </w:tbl>
    <w:p w14:paraId="6B1326E5" w14:textId="51818FE6" w:rsidR="00831B98" w:rsidRPr="00B3104E" w:rsidRDefault="00831B98" w:rsidP="00831FD2">
      <w:pPr>
        <w:ind w:leftChars="14" w:left="29"/>
        <w:rPr>
          <w:rFonts w:ascii="Arial" w:hAnsi="Arial" w:cs="Arial"/>
        </w:rPr>
      </w:pPr>
    </w:p>
    <w:p w14:paraId="630697D5" w14:textId="23DF4A17" w:rsidR="00803A87" w:rsidRPr="00B3104E" w:rsidRDefault="00FC73A0">
      <w:pPr>
        <w:widowControl/>
        <w:jc w:val="left"/>
        <w:rPr>
          <w:rFonts w:ascii="Arial" w:hAnsi="Arial" w:cs="Arial"/>
        </w:rPr>
      </w:pPr>
      <w:r w:rsidRPr="00B3104E">
        <w:rPr>
          <w:rFonts w:ascii="Arial" w:hAnsi="Arial" w:cs="Arial"/>
        </w:rPr>
        <w:t>4. Difference between non-consolidated business forecasts and actual results</w:t>
      </w:r>
    </w:p>
    <w:p w14:paraId="727A46DD" w14:textId="1DCF413F" w:rsidR="00A31490" w:rsidRPr="00B3104E" w:rsidRDefault="00A60B51" w:rsidP="00AA66A2">
      <w:pPr>
        <w:spacing w:line="240" w:lineRule="exact"/>
        <w:ind w:leftChars="135" w:left="283"/>
        <w:rPr>
          <w:rFonts w:ascii="Arial" w:hAnsi="Arial" w:cs="Arial"/>
        </w:rPr>
      </w:pPr>
      <w:r w:rsidRPr="00B3104E">
        <w:rPr>
          <w:rFonts w:ascii="Arial" w:hAnsi="Arial" w:cs="Arial"/>
        </w:rPr>
        <w:t>For the reasons stated in section 2, net sales, ordinary income and net income exceeded the forecasts by 909 million yen, 327 million yen, and 253 million yen, respectively.</w:t>
      </w:r>
    </w:p>
    <w:p w14:paraId="57E0B62F" w14:textId="4BFB0D8F" w:rsidR="00120CD2" w:rsidRPr="00B3104E" w:rsidRDefault="008C26F4" w:rsidP="00AA66A2">
      <w:pPr>
        <w:spacing w:line="240" w:lineRule="exact"/>
        <w:ind w:leftChars="135" w:left="283"/>
        <w:rPr>
          <w:rFonts w:ascii="Arial" w:hAnsi="Arial" w:cs="Arial"/>
        </w:rPr>
      </w:pPr>
      <w:r w:rsidRPr="00B3104E">
        <w:rPr>
          <w:rFonts w:ascii="Arial" w:hAnsi="Arial" w:cs="Arial"/>
        </w:rPr>
        <w:t xml:space="preserve">Consequently, the Company has revised the non-consolidated business forecasts for the second quarter of the fiscal year ending December 2021 as </w:t>
      </w:r>
      <w:r w:rsidR="00245D9F">
        <w:rPr>
          <w:rFonts w:ascii="Arial" w:hAnsi="Arial" w:cs="Arial"/>
        </w:rPr>
        <w:t>stated</w:t>
      </w:r>
      <w:r w:rsidRPr="00B3104E">
        <w:rPr>
          <w:rFonts w:ascii="Arial" w:hAnsi="Arial" w:cs="Arial"/>
        </w:rPr>
        <w:t xml:space="preserve"> above.</w:t>
      </w:r>
    </w:p>
    <w:p w14:paraId="168852B5" w14:textId="06D9B968" w:rsidR="006268E0" w:rsidRPr="00B3104E" w:rsidRDefault="006268E0" w:rsidP="008C26F4">
      <w:pPr>
        <w:ind w:leftChars="200" w:left="420" w:firstLineChars="100" w:firstLine="210"/>
        <w:rPr>
          <w:rFonts w:ascii="Arial" w:hAnsi="Arial" w:cs="Arial"/>
        </w:rPr>
      </w:pPr>
    </w:p>
    <w:p w14:paraId="42EB3664" w14:textId="3EFF0CA7" w:rsidR="006268E0" w:rsidRPr="00B3104E" w:rsidRDefault="006268E0" w:rsidP="006268E0">
      <w:pPr>
        <w:rPr>
          <w:rFonts w:ascii="Arial" w:hAnsi="Arial" w:cs="Arial"/>
        </w:rPr>
      </w:pPr>
      <w:r w:rsidRPr="00B3104E">
        <w:rPr>
          <w:rFonts w:ascii="Arial" w:hAnsi="Arial" w:cs="Arial"/>
        </w:rPr>
        <w:t>5. Full-year</w:t>
      </w:r>
      <w:r w:rsidR="00245D9F" w:rsidRPr="00B3104E">
        <w:rPr>
          <w:rFonts w:ascii="Arial" w:hAnsi="Arial" w:cs="Arial"/>
        </w:rPr>
        <w:t xml:space="preserve"> business forecasts</w:t>
      </w:r>
    </w:p>
    <w:p w14:paraId="54927883" w14:textId="77777777" w:rsidR="006268E0" w:rsidRPr="00B3104E" w:rsidRDefault="006268E0" w:rsidP="00AA66A2">
      <w:pPr>
        <w:spacing w:line="240" w:lineRule="exact"/>
        <w:ind w:leftChars="135" w:left="283"/>
        <w:jc w:val="left"/>
        <w:rPr>
          <w:rFonts w:ascii="Arial" w:hAnsi="Arial" w:cs="Arial"/>
        </w:rPr>
      </w:pPr>
      <w:r w:rsidRPr="00B3104E">
        <w:rPr>
          <w:rFonts w:ascii="Arial" w:hAnsi="Arial" w:cs="Arial"/>
        </w:rPr>
        <w:t>The Company has not revised its full-year forecasts at this time from the previous forecasts. However, the Company will continue to closely monitor the progress of its business performance and promptly disclose any revisions it deems necessary.</w:t>
      </w:r>
    </w:p>
    <w:p w14:paraId="12261FCC" w14:textId="2413CA1F" w:rsidR="006268E0" w:rsidRPr="00B3104E" w:rsidRDefault="006268E0" w:rsidP="006268E0">
      <w:pPr>
        <w:ind w:firstLineChars="200" w:firstLine="420"/>
        <w:rPr>
          <w:rFonts w:ascii="Arial" w:hAnsi="Arial" w:cs="Arial"/>
        </w:rPr>
      </w:pPr>
    </w:p>
    <w:p w14:paraId="263DCC59" w14:textId="77777777" w:rsidR="006268E0" w:rsidRPr="00B3104E" w:rsidRDefault="006268E0" w:rsidP="006268E0">
      <w:pPr>
        <w:ind w:firstLineChars="200" w:firstLine="420"/>
        <w:rPr>
          <w:rFonts w:ascii="Arial" w:hAnsi="Arial" w:cs="Arial"/>
        </w:rPr>
      </w:pPr>
    </w:p>
    <w:p w14:paraId="568E7087" w14:textId="0BE7490D" w:rsidR="00F22251" w:rsidRPr="00B3104E" w:rsidRDefault="00F22251" w:rsidP="003077AC">
      <w:pPr>
        <w:jc w:val="right"/>
        <w:rPr>
          <w:rFonts w:ascii="Arial" w:hAnsi="Arial" w:cs="Arial"/>
        </w:rPr>
      </w:pPr>
    </w:p>
    <w:sectPr w:rsidR="00F22251" w:rsidRPr="00B3104E" w:rsidSect="00C04064">
      <w:headerReference w:type="default" r:id="rId10"/>
      <w:pgSz w:w="11906" w:h="16838"/>
      <w:pgMar w:top="1701" w:right="1133"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610C" w14:textId="77777777" w:rsidR="00247887" w:rsidRDefault="00247887" w:rsidP="00F22251">
      <w:r>
        <w:separator/>
      </w:r>
    </w:p>
  </w:endnote>
  <w:endnote w:type="continuationSeparator" w:id="0">
    <w:p w14:paraId="595E05F9" w14:textId="77777777" w:rsidR="00247887" w:rsidRDefault="00247887" w:rsidP="00F2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08905"/>
      <w:docPartObj>
        <w:docPartGallery w:val="Page Numbers (Bottom of Page)"/>
        <w:docPartUnique/>
      </w:docPartObj>
    </w:sdtPr>
    <w:sdtEndPr/>
    <w:sdtContent>
      <w:p w14:paraId="03AE8AC4" w14:textId="77777777" w:rsidR="00F20105" w:rsidRDefault="00F20105">
        <w:pPr>
          <w:pStyle w:val="a9"/>
          <w:jc w:val="center"/>
        </w:pPr>
        <w:r>
          <w:fldChar w:fldCharType="begin"/>
        </w:r>
        <w:r>
          <w:instrText>PAGE   \* MERGEFORMAT</w:instrText>
        </w:r>
        <w:r>
          <w:fldChar w:fldCharType="separate"/>
        </w:r>
        <w:r w:rsidR="00AA173E" w:rsidRPr="00AA173E">
          <w:t>1</w:t>
        </w:r>
        <w:r>
          <w:fldChar w:fldCharType="end"/>
        </w:r>
      </w:p>
    </w:sdtContent>
  </w:sdt>
  <w:p w14:paraId="5A0E2ADD" w14:textId="77777777" w:rsidR="00C87A30" w:rsidRDefault="00C87A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E5DF" w14:textId="77777777" w:rsidR="00247887" w:rsidRDefault="00247887" w:rsidP="00F22251">
      <w:r>
        <w:separator/>
      </w:r>
    </w:p>
  </w:footnote>
  <w:footnote w:type="continuationSeparator" w:id="0">
    <w:p w14:paraId="7904F8B1" w14:textId="77777777" w:rsidR="00247887" w:rsidRDefault="00247887" w:rsidP="00F2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37FF" w14:textId="26BF356D" w:rsidR="00C04064" w:rsidRPr="00C04064" w:rsidRDefault="00C04064" w:rsidP="00C04064">
    <w:pPr>
      <w:widowControl/>
      <w:tabs>
        <w:tab w:val="center" w:pos="4252"/>
        <w:tab w:val="right" w:pos="8931"/>
      </w:tabs>
      <w:snapToGrid w:val="0"/>
      <w:jc w:val="left"/>
      <w:rPr>
        <w:rFonts w:ascii="Century" w:eastAsia="ＭＳ 明朝" w:hAnsi="Century" w:cs="Times New Roman"/>
        <w:b/>
        <w:i/>
        <w:kern w:val="0"/>
        <w:sz w:val="28"/>
        <w:szCs w:val="20"/>
      </w:rPr>
    </w:pPr>
    <w:r w:rsidRPr="00C04064">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AEC77D7" wp14:editId="35414BDC">
              <wp:simplePos x="0" y="0"/>
              <wp:positionH relativeFrom="column">
                <wp:posOffset>-29514</wp:posOffset>
              </wp:positionH>
              <wp:positionV relativeFrom="paragraph">
                <wp:posOffset>231775</wp:posOffset>
              </wp:positionV>
              <wp:extent cx="6115215"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2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993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8.25pt" to="479.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" strokeweight="2.25pt"/>
          </w:pict>
        </mc:Fallback>
      </mc:AlternateContent>
    </w:r>
    <w:r w:rsidRPr="00C04064">
      <w:rPr>
        <w:rFonts w:ascii="Century" w:eastAsia="ＭＳ 明朝" w:hAnsi="Century" w:cs="Times New Roman" w:hint="eastAsia"/>
        <w:b/>
        <w:i/>
        <w:kern w:val="0"/>
        <w:sz w:val="28"/>
        <w:szCs w:val="20"/>
      </w:rPr>
      <w:t>News Release:</w:t>
    </w:r>
    <w:r>
      <w:rPr>
        <w:rFonts w:ascii="Century" w:eastAsia="ＭＳ 明朝" w:hAnsi="Century" w:cs="Times New Roman"/>
        <w:b/>
        <w:i/>
        <w:kern w:val="0"/>
        <w:sz w:val="28"/>
        <w:szCs w:val="20"/>
      </w:rPr>
      <w:t xml:space="preserve"> </w:t>
    </w:r>
    <w:r w:rsidRPr="00C04064">
      <w:rPr>
        <w:rFonts w:ascii="Century" w:eastAsia="ＭＳ 明朝" w:hAnsi="Century" w:cs="Times New Roman" w:hint="eastAsia"/>
        <w:b/>
        <w:i/>
        <w:kern w:val="0"/>
        <w:sz w:val="28"/>
        <w:szCs w:val="20"/>
      </w:rPr>
      <w:t xml:space="preserve"> </w:t>
    </w:r>
    <w:r w:rsidRPr="00C04064">
      <w:rPr>
        <w:rFonts w:ascii="Times New Roman" w:eastAsia="ＭＳ 明朝" w:hAnsi="Times New Roman" w:cs="Times New Roman"/>
        <w:b/>
        <w:i/>
        <w:kern w:val="0"/>
        <w:sz w:val="28"/>
        <w:szCs w:val="28"/>
      </w:rPr>
      <w:t xml:space="preserve">Sansei Landic Co.,Ltd </w:t>
    </w:r>
    <w:r w:rsidRPr="00C04064">
      <w:rPr>
        <w:rFonts w:ascii="Century" w:eastAsia="ＭＳ 明朝" w:hAnsi="Century" w:cs="Times New Roman" w:hint="eastAsia"/>
        <w:b/>
        <w:i/>
        <w:kern w:val="0"/>
        <w:sz w:val="28"/>
        <w:szCs w:val="28"/>
      </w:rPr>
      <w:t xml:space="preserve">  </w:t>
    </w:r>
    <w:r w:rsidRPr="00C04064">
      <w:rPr>
        <w:rFonts w:ascii="Century" w:eastAsia="ＭＳ 明朝" w:hAnsi="Century" w:cs="Times New Roman" w:hint="eastAsia"/>
        <w:b/>
        <w:i/>
        <w:kern w:val="0"/>
        <w:sz w:val="28"/>
        <w:szCs w:val="20"/>
      </w:rPr>
      <w:t xml:space="preserve">　　　</w:t>
    </w:r>
    <w:r w:rsidRPr="00C04064">
      <w:rPr>
        <w:rFonts w:ascii="Century" w:eastAsia="ＭＳ 明朝" w:hAnsi="Century" w:cs="Times New Roman" w:hint="eastAsia"/>
        <w:b/>
        <w:i/>
        <w:kern w:val="0"/>
        <w:sz w:val="28"/>
        <w:szCs w:val="20"/>
      </w:rPr>
      <w:t xml:space="preserve"> </w:t>
    </w:r>
    <w:r w:rsidRPr="00C04064">
      <w:rPr>
        <w:rFonts w:ascii="Century" w:eastAsia="ＭＳ 明朝" w:hAnsi="Century" w:cs="Times New Roman"/>
        <w:b/>
        <w:i/>
        <w:kern w:val="0"/>
        <w:sz w:val="28"/>
        <w:szCs w:val="20"/>
      </w:rPr>
      <w:t xml:space="preserve">        </w:t>
    </w:r>
    <w:r w:rsidRPr="00C04064">
      <w:rPr>
        <w:rFonts w:ascii="Century" w:eastAsia="ＭＳ 明朝" w:hAnsi="Century" w:cs="Times New Roman" w:hint="eastAsia"/>
        <w:b/>
        <w:i/>
        <w:kern w:val="0"/>
        <w:sz w:val="28"/>
        <w:szCs w:val="20"/>
      </w:rPr>
      <w:t xml:space="preserve">　</w:t>
    </w:r>
    <w:r>
      <w:rPr>
        <w:rFonts w:ascii="Century" w:eastAsia="ＭＳ 明朝" w:hAnsi="Century" w:cs="Times New Roman" w:hint="eastAsia"/>
        <w:b/>
        <w:i/>
        <w:kern w:val="0"/>
        <w:sz w:val="28"/>
        <w:szCs w:val="20"/>
      </w:rPr>
      <w:t xml:space="preserve"> </w:t>
    </w:r>
    <w:r>
      <w:rPr>
        <w:rFonts w:ascii="Century" w:eastAsia="ＭＳ 明朝" w:hAnsi="Century" w:cs="Times New Roman"/>
        <w:b/>
        <w:i/>
        <w:kern w:val="0"/>
        <w:sz w:val="28"/>
        <w:szCs w:val="20"/>
      </w:rPr>
      <w:t xml:space="preserve">   </w:t>
    </w:r>
    <w:r w:rsidRPr="00C04064">
      <w:rPr>
        <w:rFonts w:ascii="Century" w:eastAsia="ＭＳ 明朝" w:hAnsi="Century" w:cs="Times New Roman" w:hint="eastAsia"/>
        <w:b/>
        <w:i/>
        <w:kern w:val="0"/>
        <w:sz w:val="24"/>
        <w:szCs w:val="20"/>
      </w:rPr>
      <w:t>(3277</w:t>
    </w:r>
    <w:r w:rsidRPr="00C04064">
      <w:rPr>
        <w:rFonts w:ascii="Century" w:eastAsia="ＭＳ 明朝" w:hAnsi="Century" w:cs="Times New Roman"/>
        <w:b/>
        <w:i/>
        <w:kern w:val="0"/>
        <w:sz w:val="24"/>
        <w:szCs w:val="20"/>
      </w:rPr>
      <w:t xml:space="preserve"> </w:t>
    </w:r>
    <w:r w:rsidRPr="00C04064">
      <w:rPr>
        <w:rFonts w:ascii="Century" w:eastAsia="ＭＳ 明朝" w:hAnsi="Century" w:cs="Times New Roman"/>
        <w:b/>
        <w:bCs/>
        <w:i/>
        <w:iCs/>
        <w:kern w:val="0"/>
        <w:sz w:val="24"/>
        <w:szCs w:val="20"/>
      </w:rPr>
      <w:t>TSE1</w:t>
    </w:r>
    <w:r w:rsidRPr="00C04064">
      <w:rPr>
        <w:rFonts w:ascii="Century" w:eastAsia="ＭＳ 明朝" w:hAnsi="Century" w:cs="Times New Roman" w:hint="eastAsia"/>
        <w:b/>
        <w:bCs/>
        <w:i/>
        <w:iCs/>
        <w:kern w:val="0"/>
        <w:sz w:val="24"/>
        <w:szCs w:val="20"/>
      </w:rPr>
      <w:t>)</w:t>
    </w:r>
  </w:p>
  <w:p w14:paraId="566DBCAF" w14:textId="5CAA190C" w:rsidR="00C04064" w:rsidRPr="00C04064" w:rsidRDefault="00C04064" w:rsidP="00C04064">
    <w:pPr>
      <w:widowControl/>
      <w:tabs>
        <w:tab w:val="center" w:pos="4252"/>
        <w:tab w:val="right" w:pos="8504"/>
      </w:tabs>
      <w:snapToGrid w:val="0"/>
      <w:jc w:val="right"/>
      <w:rPr>
        <w:rFonts w:ascii="Times New Roman" w:eastAsia="ＭＳ 明朝" w:hAnsi="Times New Roman" w:cs="Times New Roman"/>
        <w:kern w:val="0"/>
        <w:sz w:val="20"/>
        <w:szCs w:val="20"/>
      </w:rPr>
    </w:pPr>
    <w:r w:rsidRPr="00C04064">
      <w:rPr>
        <w:rFonts w:ascii="Times New Roman" w:eastAsia="ＭＳ 明朝" w:hAnsi="Times New Roman" w:cs="Times New Roman" w:hint="eastAsia"/>
        <w:kern w:val="0"/>
        <w:sz w:val="20"/>
        <w:szCs w:val="20"/>
      </w:rPr>
      <w:t xml:space="preserve">               </w:t>
    </w:r>
    <w:r w:rsidRPr="00C04064">
      <w:rPr>
        <w:rFonts w:ascii="Times New Roman" w:eastAsia="ＭＳ 明朝" w:hAnsi="Times New Roman" w:cs="Times New Roman" w:hint="eastAsia"/>
        <w:kern w:val="0"/>
        <w:sz w:val="20"/>
        <w:szCs w:val="20"/>
      </w:rPr>
      <w:t xml:space="preserve">　　　　　　　　　　　　　　　</w:t>
    </w:r>
    <w:r w:rsidRPr="00C04064">
      <w:rPr>
        <w:rFonts w:ascii="Century" w:eastAsia="ＭＳ 明朝" w:hAnsi="Century" w:cs="Times New Roman" w:hint="eastAsia"/>
        <w:b/>
        <w:bCs/>
        <w:i/>
        <w:iCs/>
        <w:kern w:val="0"/>
        <w:szCs w:val="20"/>
      </w:rPr>
      <w:t xml:space="preserve">                                                                            </w:t>
    </w:r>
    <w:r w:rsidRPr="00C04064">
      <w:rPr>
        <w:rFonts w:ascii="Century" w:eastAsia="ＭＳ 明朝" w:hAnsi="Century" w:cs="Times New Roman"/>
        <w:b/>
        <w:bCs/>
        <w:i/>
        <w:iCs/>
        <w:kern w:val="0"/>
        <w:szCs w:val="20"/>
      </w:rPr>
      <w:t xml:space="preserve">           </w:t>
    </w:r>
    <w:r w:rsidRPr="00C04064">
      <w:rPr>
        <w:rFonts w:ascii="Century" w:eastAsia="ＭＳ 明朝" w:hAnsi="Century" w:cs="Times New Roman" w:hint="eastAsia"/>
        <w:b/>
        <w:bCs/>
        <w:i/>
        <w:iCs/>
        <w:kern w:val="0"/>
        <w:szCs w:val="20"/>
      </w:rPr>
      <w:t xml:space="preserve">  </w:t>
    </w:r>
    <w:r w:rsidRPr="00C04064">
      <w:rPr>
        <w:rFonts w:ascii="Century" w:eastAsia="ＭＳ 明朝" w:hAnsi="Century" w:cs="Times New Roman"/>
        <w:b/>
        <w:bCs/>
        <w:i/>
        <w:iCs/>
        <w:kern w:val="0"/>
        <w:szCs w:val="20"/>
      </w:rPr>
      <w:t xml:space="preserve">      </w:t>
    </w:r>
    <w:r>
      <w:rPr>
        <w:rFonts w:ascii="Century" w:eastAsia="ＭＳ 明朝" w:hAnsi="Century" w:cs="Times New Roman"/>
        <w:b/>
        <w:bCs/>
        <w:i/>
        <w:iCs/>
        <w:kern w:val="0"/>
        <w:szCs w:val="20"/>
      </w:rPr>
      <w:t>August 12</w:t>
    </w:r>
    <w:r w:rsidRPr="00C04064">
      <w:rPr>
        <w:rFonts w:ascii="Century" w:eastAsia="ＭＳ 明朝" w:hAnsi="Century" w:cs="Times New Roman"/>
        <w:b/>
        <w:bCs/>
        <w:i/>
        <w:iCs/>
        <w:kern w:val="0"/>
        <w:szCs w:val="20"/>
      </w:rPr>
      <w:t>, 2021</w:t>
    </w:r>
  </w:p>
  <w:p w14:paraId="4767D13F" w14:textId="77777777" w:rsidR="00C04064" w:rsidRPr="00C04064" w:rsidRDefault="00C04064" w:rsidP="00C040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5BBF" w14:textId="77777777" w:rsidR="0011425F" w:rsidRPr="00C04064" w:rsidRDefault="0011425F" w:rsidP="00C040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AAD"/>
    <w:multiLevelType w:val="hybridMultilevel"/>
    <w:tmpl w:val="12E2AAF0"/>
    <w:lvl w:ilvl="0" w:tplc="43AC7A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95EAF"/>
    <w:multiLevelType w:val="hybridMultilevel"/>
    <w:tmpl w:val="027E1D26"/>
    <w:lvl w:ilvl="0" w:tplc="E13ECC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14951"/>
    <w:multiLevelType w:val="hybridMultilevel"/>
    <w:tmpl w:val="AA82AF16"/>
    <w:lvl w:ilvl="0" w:tplc="819E047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1"/>
    <w:rsid w:val="0000314C"/>
    <w:rsid w:val="00011BB6"/>
    <w:rsid w:val="00014812"/>
    <w:rsid w:val="0001690C"/>
    <w:rsid w:val="00020946"/>
    <w:rsid w:val="00032CE2"/>
    <w:rsid w:val="0003339A"/>
    <w:rsid w:val="00040A0D"/>
    <w:rsid w:val="000476C0"/>
    <w:rsid w:val="000533D8"/>
    <w:rsid w:val="0006754E"/>
    <w:rsid w:val="000705C9"/>
    <w:rsid w:val="00082016"/>
    <w:rsid w:val="00093814"/>
    <w:rsid w:val="000A0580"/>
    <w:rsid w:val="000A4B51"/>
    <w:rsid w:val="000B3EFE"/>
    <w:rsid w:val="000C13D4"/>
    <w:rsid w:val="000D4CFC"/>
    <w:rsid w:val="000D7EE6"/>
    <w:rsid w:val="000E6BDA"/>
    <w:rsid w:val="000F00B1"/>
    <w:rsid w:val="000F1FEB"/>
    <w:rsid w:val="000F3CC2"/>
    <w:rsid w:val="000F75F0"/>
    <w:rsid w:val="00102F33"/>
    <w:rsid w:val="00104761"/>
    <w:rsid w:val="0011425F"/>
    <w:rsid w:val="001159A4"/>
    <w:rsid w:val="00120CD2"/>
    <w:rsid w:val="0012502F"/>
    <w:rsid w:val="0012613B"/>
    <w:rsid w:val="001321EA"/>
    <w:rsid w:val="0013712B"/>
    <w:rsid w:val="0017415A"/>
    <w:rsid w:val="0017591B"/>
    <w:rsid w:val="00185EE7"/>
    <w:rsid w:val="00191ACF"/>
    <w:rsid w:val="001923BF"/>
    <w:rsid w:val="00192848"/>
    <w:rsid w:val="001932A1"/>
    <w:rsid w:val="00193965"/>
    <w:rsid w:val="00194132"/>
    <w:rsid w:val="001A03FE"/>
    <w:rsid w:val="001A2A13"/>
    <w:rsid w:val="001B2C5F"/>
    <w:rsid w:val="001C05A5"/>
    <w:rsid w:val="001C7AEF"/>
    <w:rsid w:val="001D53C7"/>
    <w:rsid w:val="001E2E2C"/>
    <w:rsid w:val="001F51D4"/>
    <w:rsid w:val="00202182"/>
    <w:rsid w:val="0020228A"/>
    <w:rsid w:val="00213AB9"/>
    <w:rsid w:val="002248CA"/>
    <w:rsid w:val="00236315"/>
    <w:rsid w:val="00236C5E"/>
    <w:rsid w:val="002379F0"/>
    <w:rsid w:val="0024001C"/>
    <w:rsid w:val="0024010B"/>
    <w:rsid w:val="0024534C"/>
    <w:rsid w:val="00245D9F"/>
    <w:rsid w:val="00247887"/>
    <w:rsid w:val="00252EF2"/>
    <w:rsid w:val="002769EC"/>
    <w:rsid w:val="00285E11"/>
    <w:rsid w:val="00286C4D"/>
    <w:rsid w:val="00287235"/>
    <w:rsid w:val="002B3107"/>
    <w:rsid w:val="002B5E6B"/>
    <w:rsid w:val="002B7056"/>
    <w:rsid w:val="002C656D"/>
    <w:rsid w:val="002C68CA"/>
    <w:rsid w:val="002D6CCA"/>
    <w:rsid w:val="002E4B3E"/>
    <w:rsid w:val="002F1779"/>
    <w:rsid w:val="002F7FBC"/>
    <w:rsid w:val="00301656"/>
    <w:rsid w:val="003051C5"/>
    <w:rsid w:val="003077AC"/>
    <w:rsid w:val="0033773C"/>
    <w:rsid w:val="003418BD"/>
    <w:rsid w:val="003508C5"/>
    <w:rsid w:val="00360B21"/>
    <w:rsid w:val="00363FB7"/>
    <w:rsid w:val="00365D10"/>
    <w:rsid w:val="00372D95"/>
    <w:rsid w:val="00397810"/>
    <w:rsid w:val="003A08B7"/>
    <w:rsid w:val="003A1166"/>
    <w:rsid w:val="003B3AAB"/>
    <w:rsid w:val="003B5047"/>
    <w:rsid w:val="003B665C"/>
    <w:rsid w:val="003C0825"/>
    <w:rsid w:val="003C26FD"/>
    <w:rsid w:val="003C3822"/>
    <w:rsid w:val="003C40F6"/>
    <w:rsid w:val="003D0368"/>
    <w:rsid w:val="003D3B9B"/>
    <w:rsid w:val="0040580A"/>
    <w:rsid w:val="0041297F"/>
    <w:rsid w:val="00413A13"/>
    <w:rsid w:val="0042284E"/>
    <w:rsid w:val="00430CC9"/>
    <w:rsid w:val="0043212B"/>
    <w:rsid w:val="0043318E"/>
    <w:rsid w:val="004331D0"/>
    <w:rsid w:val="004332E3"/>
    <w:rsid w:val="00434E65"/>
    <w:rsid w:val="00440170"/>
    <w:rsid w:val="004457A7"/>
    <w:rsid w:val="004468A2"/>
    <w:rsid w:val="00447BE7"/>
    <w:rsid w:val="00454443"/>
    <w:rsid w:val="00455F2F"/>
    <w:rsid w:val="00461BCD"/>
    <w:rsid w:val="00464466"/>
    <w:rsid w:val="0046479F"/>
    <w:rsid w:val="00475FD0"/>
    <w:rsid w:val="004851E3"/>
    <w:rsid w:val="00487885"/>
    <w:rsid w:val="00494D7C"/>
    <w:rsid w:val="004A1961"/>
    <w:rsid w:val="004D0C97"/>
    <w:rsid w:val="004D6E38"/>
    <w:rsid w:val="004E2DD9"/>
    <w:rsid w:val="004E6AD5"/>
    <w:rsid w:val="004F47E9"/>
    <w:rsid w:val="005113EF"/>
    <w:rsid w:val="00514363"/>
    <w:rsid w:val="005143AA"/>
    <w:rsid w:val="00521D85"/>
    <w:rsid w:val="00531168"/>
    <w:rsid w:val="00532B7E"/>
    <w:rsid w:val="005449DC"/>
    <w:rsid w:val="00564BD7"/>
    <w:rsid w:val="005701D3"/>
    <w:rsid w:val="0057241D"/>
    <w:rsid w:val="00577420"/>
    <w:rsid w:val="005875C1"/>
    <w:rsid w:val="0059118B"/>
    <w:rsid w:val="005A07F1"/>
    <w:rsid w:val="005B37F5"/>
    <w:rsid w:val="005B4CD7"/>
    <w:rsid w:val="005C7BA4"/>
    <w:rsid w:val="005E3217"/>
    <w:rsid w:val="005F2CAB"/>
    <w:rsid w:val="00600270"/>
    <w:rsid w:val="006100E9"/>
    <w:rsid w:val="00617F77"/>
    <w:rsid w:val="00625F7E"/>
    <w:rsid w:val="006268E0"/>
    <w:rsid w:val="00630CA2"/>
    <w:rsid w:val="00631451"/>
    <w:rsid w:val="0063488E"/>
    <w:rsid w:val="00666B6D"/>
    <w:rsid w:val="00670ED2"/>
    <w:rsid w:val="006723F8"/>
    <w:rsid w:val="00672693"/>
    <w:rsid w:val="0067270A"/>
    <w:rsid w:val="006820BF"/>
    <w:rsid w:val="006904DF"/>
    <w:rsid w:val="006A5BEA"/>
    <w:rsid w:val="006B1122"/>
    <w:rsid w:val="006B79E0"/>
    <w:rsid w:val="006D5682"/>
    <w:rsid w:val="006E5C70"/>
    <w:rsid w:val="006F6EA5"/>
    <w:rsid w:val="00705273"/>
    <w:rsid w:val="00707A1F"/>
    <w:rsid w:val="00714D52"/>
    <w:rsid w:val="00726184"/>
    <w:rsid w:val="007264C6"/>
    <w:rsid w:val="00730708"/>
    <w:rsid w:val="00732A02"/>
    <w:rsid w:val="007377F0"/>
    <w:rsid w:val="0074144A"/>
    <w:rsid w:val="00756FB4"/>
    <w:rsid w:val="0077139B"/>
    <w:rsid w:val="0077162D"/>
    <w:rsid w:val="00773551"/>
    <w:rsid w:val="00773A45"/>
    <w:rsid w:val="00774939"/>
    <w:rsid w:val="007C0A60"/>
    <w:rsid w:val="007D5326"/>
    <w:rsid w:val="007E49CF"/>
    <w:rsid w:val="007E64FB"/>
    <w:rsid w:val="007F017F"/>
    <w:rsid w:val="007F12F0"/>
    <w:rsid w:val="00800930"/>
    <w:rsid w:val="00803A87"/>
    <w:rsid w:val="00822225"/>
    <w:rsid w:val="00830FAF"/>
    <w:rsid w:val="00831056"/>
    <w:rsid w:val="00831B98"/>
    <w:rsid w:val="00831FD2"/>
    <w:rsid w:val="0085708F"/>
    <w:rsid w:val="00862AE8"/>
    <w:rsid w:val="00866C7F"/>
    <w:rsid w:val="00871226"/>
    <w:rsid w:val="00876FFC"/>
    <w:rsid w:val="008844DE"/>
    <w:rsid w:val="00894F13"/>
    <w:rsid w:val="008A09C5"/>
    <w:rsid w:val="008B588A"/>
    <w:rsid w:val="008C26F4"/>
    <w:rsid w:val="008D3FAC"/>
    <w:rsid w:val="008D49A5"/>
    <w:rsid w:val="008E10A5"/>
    <w:rsid w:val="008E7578"/>
    <w:rsid w:val="008F20D2"/>
    <w:rsid w:val="00901BF6"/>
    <w:rsid w:val="00903691"/>
    <w:rsid w:val="00910A28"/>
    <w:rsid w:val="0092039E"/>
    <w:rsid w:val="009307B6"/>
    <w:rsid w:val="00931C92"/>
    <w:rsid w:val="00935D6B"/>
    <w:rsid w:val="00951516"/>
    <w:rsid w:val="00953676"/>
    <w:rsid w:val="009549FE"/>
    <w:rsid w:val="00955F5A"/>
    <w:rsid w:val="00961122"/>
    <w:rsid w:val="00962E3A"/>
    <w:rsid w:val="00971646"/>
    <w:rsid w:val="00971A51"/>
    <w:rsid w:val="00976B0A"/>
    <w:rsid w:val="009860FE"/>
    <w:rsid w:val="0099716E"/>
    <w:rsid w:val="009A1266"/>
    <w:rsid w:val="009A2CCD"/>
    <w:rsid w:val="009A4EED"/>
    <w:rsid w:val="009B20D0"/>
    <w:rsid w:val="009B2A2B"/>
    <w:rsid w:val="009C52B4"/>
    <w:rsid w:val="00A15619"/>
    <w:rsid w:val="00A16CB4"/>
    <w:rsid w:val="00A17B5A"/>
    <w:rsid w:val="00A31490"/>
    <w:rsid w:val="00A42CF6"/>
    <w:rsid w:val="00A5119B"/>
    <w:rsid w:val="00A5231C"/>
    <w:rsid w:val="00A60B51"/>
    <w:rsid w:val="00A64F27"/>
    <w:rsid w:val="00A67013"/>
    <w:rsid w:val="00A72177"/>
    <w:rsid w:val="00A845C1"/>
    <w:rsid w:val="00A8503E"/>
    <w:rsid w:val="00A92AC9"/>
    <w:rsid w:val="00A96C3B"/>
    <w:rsid w:val="00AA0D11"/>
    <w:rsid w:val="00AA173E"/>
    <w:rsid w:val="00AA66A2"/>
    <w:rsid w:val="00AA691A"/>
    <w:rsid w:val="00AA7BAA"/>
    <w:rsid w:val="00AB35FC"/>
    <w:rsid w:val="00AB393F"/>
    <w:rsid w:val="00AC0C7C"/>
    <w:rsid w:val="00AC39D3"/>
    <w:rsid w:val="00AD4131"/>
    <w:rsid w:val="00AE5741"/>
    <w:rsid w:val="00B02E9E"/>
    <w:rsid w:val="00B076B7"/>
    <w:rsid w:val="00B15333"/>
    <w:rsid w:val="00B2293F"/>
    <w:rsid w:val="00B30121"/>
    <w:rsid w:val="00B3104E"/>
    <w:rsid w:val="00B35B4D"/>
    <w:rsid w:val="00B36D1C"/>
    <w:rsid w:val="00B55685"/>
    <w:rsid w:val="00B67918"/>
    <w:rsid w:val="00B74EA1"/>
    <w:rsid w:val="00B82183"/>
    <w:rsid w:val="00B83B65"/>
    <w:rsid w:val="00B97A8C"/>
    <w:rsid w:val="00BC118F"/>
    <w:rsid w:val="00BC3557"/>
    <w:rsid w:val="00BC7C06"/>
    <w:rsid w:val="00BE17D5"/>
    <w:rsid w:val="00BF249C"/>
    <w:rsid w:val="00BF480A"/>
    <w:rsid w:val="00BF54A3"/>
    <w:rsid w:val="00BF55D8"/>
    <w:rsid w:val="00C0051B"/>
    <w:rsid w:val="00C03FFB"/>
    <w:rsid w:val="00C04064"/>
    <w:rsid w:val="00C07FFD"/>
    <w:rsid w:val="00C33D04"/>
    <w:rsid w:val="00C36A6B"/>
    <w:rsid w:val="00C4598E"/>
    <w:rsid w:val="00C45BB7"/>
    <w:rsid w:val="00C55B1D"/>
    <w:rsid w:val="00C57919"/>
    <w:rsid w:val="00C626A3"/>
    <w:rsid w:val="00C87922"/>
    <w:rsid w:val="00C87A30"/>
    <w:rsid w:val="00C903C3"/>
    <w:rsid w:val="00C91B9A"/>
    <w:rsid w:val="00C95A1A"/>
    <w:rsid w:val="00CA04F2"/>
    <w:rsid w:val="00CA0C67"/>
    <w:rsid w:val="00CA14AE"/>
    <w:rsid w:val="00CA2144"/>
    <w:rsid w:val="00CB038C"/>
    <w:rsid w:val="00CB3331"/>
    <w:rsid w:val="00CB4414"/>
    <w:rsid w:val="00CC4FF0"/>
    <w:rsid w:val="00CC728E"/>
    <w:rsid w:val="00CD2C02"/>
    <w:rsid w:val="00CD33FE"/>
    <w:rsid w:val="00CE189B"/>
    <w:rsid w:val="00CE211A"/>
    <w:rsid w:val="00CE30AA"/>
    <w:rsid w:val="00CF015C"/>
    <w:rsid w:val="00CF45B8"/>
    <w:rsid w:val="00CF69D3"/>
    <w:rsid w:val="00D10320"/>
    <w:rsid w:val="00D15FB6"/>
    <w:rsid w:val="00D2113A"/>
    <w:rsid w:val="00D253D2"/>
    <w:rsid w:val="00D31108"/>
    <w:rsid w:val="00D34FAB"/>
    <w:rsid w:val="00D377FE"/>
    <w:rsid w:val="00D40708"/>
    <w:rsid w:val="00D40EF4"/>
    <w:rsid w:val="00D41EFB"/>
    <w:rsid w:val="00D42B24"/>
    <w:rsid w:val="00D53755"/>
    <w:rsid w:val="00D53E4A"/>
    <w:rsid w:val="00D55800"/>
    <w:rsid w:val="00D60780"/>
    <w:rsid w:val="00D65C49"/>
    <w:rsid w:val="00D677FA"/>
    <w:rsid w:val="00D9102A"/>
    <w:rsid w:val="00D96E7F"/>
    <w:rsid w:val="00D97486"/>
    <w:rsid w:val="00DA6684"/>
    <w:rsid w:val="00DB3031"/>
    <w:rsid w:val="00DC1F14"/>
    <w:rsid w:val="00DD622E"/>
    <w:rsid w:val="00DE17E9"/>
    <w:rsid w:val="00DE4480"/>
    <w:rsid w:val="00DE4D18"/>
    <w:rsid w:val="00DF77CE"/>
    <w:rsid w:val="00DF7E6E"/>
    <w:rsid w:val="00E0162C"/>
    <w:rsid w:val="00E04B6B"/>
    <w:rsid w:val="00E11FB3"/>
    <w:rsid w:val="00E13D0A"/>
    <w:rsid w:val="00E16C56"/>
    <w:rsid w:val="00E366F8"/>
    <w:rsid w:val="00E37E8F"/>
    <w:rsid w:val="00E40828"/>
    <w:rsid w:val="00E4710D"/>
    <w:rsid w:val="00E6698D"/>
    <w:rsid w:val="00E82C8F"/>
    <w:rsid w:val="00E83CAE"/>
    <w:rsid w:val="00E9233E"/>
    <w:rsid w:val="00E94370"/>
    <w:rsid w:val="00EA3660"/>
    <w:rsid w:val="00EA5978"/>
    <w:rsid w:val="00EB5CD2"/>
    <w:rsid w:val="00EC1989"/>
    <w:rsid w:val="00EC2B82"/>
    <w:rsid w:val="00EC7003"/>
    <w:rsid w:val="00ED5389"/>
    <w:rsid w:val="00EE1D2E"/>
    <w:rsid w:val="00EE3941"/>
    <w:rsid w:val="00EF3B16"/>
    <w:rsid w:val="00EF5F27"/>
    <w:rsid w:val="00EF7DD4"/>
    <w:rsid w:val="00F070C4"/>
    <w:rsid w:val="00F07FE5"/>
    <w:rsid w:val="00F20105"/>
    <w:rsid w:val="00F22251"/>
    <w:rsid w:val="00F32008"/>
    <w:rsid w:val="00F33F2B"/>
    <w:rsid w:val="00F41C4E"/>
    <w:rsid w:val="00F452F2"/>
    <w:rsid w:val="00F56319"/>
    <w:rsid w:val="00F56DAA"/>
    <w:rsid w:val="00F57CCD"/>
    <w:rsid w:val="00F731D3"/>
    <w:rsid w:val="00F741AB"/>
    <w:rsid w:val="00F83E76"/>
    <w:rsid w:val="00F97D87"/>
    <w:rsid w:val="00FB14AC"/>
    <w:rsid w:val="00FC73A0"/>
    <w:rsid w:val="00FC7B4B"/>
    <w:rsid w:val="00FD211E"/>
    <w:rsid w:val="00FE2D31"/>
    <w:rsid w:val="00FE7E9F"/>
    <w:rsid w:val="00FF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6DD28"/>
  <w15:docId w15:val="{771F2FBD-527D-455B-A3F3-59B0A100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D3"/>
    <w:pPr>
      <w:widowControl w:val="0"/>
      <w:jc w:val="both"/>
    </w:pPr>
  </w:style>
  <w:style w:type="paragraph" w:styleId="2">
    <w:name w:val="heading 2"/>
    <w:basedOn w:val="a"/>
    <w:next w:val="20"/>
    <w:link w:val="21"/>
    <w:qFormat/>
    <w:rsid w:val="000F1FEB"/>
    <w:pPr>
      <w:outlineLvl w:val="1"/>
    </w:pPr>
    <w:rPr>
      <w:rFonts w:ascii="ＭＳ ゴシック" w:eastAsia="ＭＳ ゴシック" w:hAnsi="Century" w:cs="Times New Roman"/>
      <w:szCs w:val="24"/>
    </w:rPr>
  </w:style>
  <w:style w:type="paragraph" w:styleId="3">
    <w:name w:val="heading 3"/>
    <w:basedOn w:val="a"/>
    <w:next w:val="30"/>
    <w:link w:val="31"/>
    <w:qFormat/>
    <w:rsid w:val="000F1FEB"/>
    <w:pPr>
      <w:ind w:left="199"/>
      <w:outlineLvl w:val="2"/>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2251"/>
  </w:style>
  <w:style w:type="character" w:customStyle="1" w:styleId="a4">
    <w:name w:val="日付 (文字)"/>
    <w:basedOn w:val="a0"/>
    <w:link w:val="a3"/>
    <w:uiPriority w:val="99"/>
    <w:semiHidden/>
    <w:rsid w:val="00F22251"/>
  </w:style>
  <w:style w:type="paragraph" w:styleId="a5">
    <w:name w:val="Balloon Text"/>
    <w:basedOn w:val="a"/>
    <w:link w:val="a6"/>
    <w:uiPriority w:val="99"/>
    <w:semiHidden/>
    <w:unhideWhenUsed/>
    <w:rsid w:val="00F222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2251"/>
    <w:rPr>
      <w:rFonts w:asciiTheme="majorHAnsi" w:eastAsiaTheme="majorEastAsia" w:hAnsiTheme="majorHAnsi" w:cstheme="majorBidi"/>
      <w:sz w:val="18"/>
      <w:szCs w:val="18"/>
    </w:rPr>
  </w:style>
  <w:style w:type="paragraph" w:styleId="a7">
    <w:name w:val="header"/>
    <w:basedOn w:val="a"/>
    <w:link w:val="a8"/>
    <w:uiPriority w:val="99"/>
    <w:unhideWhenUsed/>
    <w:rsid w:val="00F22251"/>
    <w:pPr>
      <w:tabs>
        <w:tab w:val="center" w:pos="4252"/>
        <w:tab w:val="right" w:pos="8504"/>
      </w:tabs>
      <w:snapToGrid w:val="0"/>
    </w:pPr>
  </w:style>
  <w:style w:type="character" w:customStyle="1" w:styleId="a8">
    <w:name w:val="ヘッダー (文字)"/>
    <w:basedOn w:val="a0"/>
    <w:link w:val="a7"/>
    <w:uiPriority w:val="99"/>
    <w:rsid w:val="00F22251"/>
  </w:style>
  <w:style w:type="paragraph" w:styleId="a9">
    <w:name w:val="footer"/>
    <w:basedOn w:val="a"/>
    <w:link w:val="aa"/>
    <w:uiPriority w:val="99"/>
    <w:unhideWhenUsed/>
    <w:rsid w:val="00F22251"/>
    <w:pPr>
      <w:tabs>
        <w:tab w:val="center" w:pos="4252"/>
        <w:tab w:val="right" w:pos="8504"/>
      </w:tabs>
      <w:snapToGrid w:val="0"/>
    </w:pPr>
  </w:style>
  <w:style w:type="character" w:customStyle="1" w:styleId="aa">
    <w:name w:val="フッター (文字)"/>
    <w:basedOn w:val="a0"/>
    <w:link w:val="a9"/>
    <w:uiPriority w:val="99"/>
    <w:rsid w:val="00F22251"/>
  </w:style>
  <w:style w:type="paragraph" w:styleId="ab">
    <w:name w:val="Note Heading"/>
    <w:basedOn w:val="a"/>
    <w:next w:val="a"/>
    <w:link w:val="ac"/>
    <w:unhideWhenUsed/>
    <w:rsid w:val="00F41C4E"/>
    <w:pPr>
      <w:jc w:val="center"/>
    </w:pPr>
    <w:rPr>
      <w:rFonts w:asciiTheme="minorEastAsia" w:hAnsiTheme="minorEastAsia"/>
      <w:szCs w:val="21"/>
    </w:rPr>
  </w:style>
  <w:style w:type="character" w:customStyle="1" w:styleId="ac">
    <w:name w:val="記 (文字)"/>
    <w:basedOn w:val="a0"/>
    <w:link w:val="ab"/>
    <w:rsid w:val="00F41C4E"/>
    <w:rPr>
      <w:rFonts w:asciiTheme="minorEastAsia" w:hAnsiTheme="minorEastAsia"/>
      <w:szCs w:val="21"/>
    </w:rPr>
  </w:style>
  <w:style w:type="paragraph" w:styleId="ad">
    <w:name w:val="Closing"/>
    <w:basedOn w:val="a"/>
    <w:link w:val="ae"/>
    <w:unhideWhenUsed/>
    <w:rsid w:val="00F41C4E"/>
    <w:pPr>
      <w:jc w:val="right"/>
    </w:pPr>
    <w:rPr>
      <w:rFonts w:asciiTheme="minorEastAsia" w:hAnsiTheme="minorEastAsia"/>
      <w:szCs w:val="21"/>
    </w:rPr>
  </w:style>
  <w:style w:type="character" w:customStyle="1" w:styleId="ae">
    <w:name w:val="結語 (文字)"/>
    <w:basedOn w:val="a0"/>
    <w:link w:val="ad"/>
    <w:rsid w:val="00F41C4E"/>
    <w:rPr>
      <w:rFonts w:asciiTheme="minorEastAsia" w:hAnsiTheme="minorEastAsia"/>
      <w:szCs w:val="21"/>
    </w:rPr>
  </w:style>
  <w:style w:type="character" w:customStyle="1" w:styleId="21">
    <w:name w:val="見出し 2 (文字)"/>
    <w:basedOn w:val="a0"/>
    <w:link w:val="2"/>
    <w:rsid w:val="000F1FEB"/>
    <w:rPr>
      <w:rFonts w:ascii="ＭＳ ゴシック" w:eastAsia="ＭＳ ゴシック" w:hAnsi="Century" w:cs="Times New Roman"/>
      <w:szCs w:val="24"/>
    </w:rPr>
  </w:style>
  <w:style w:type="character" w:customStyle="1" w:styleId="31">
    <w:name w:val="見出し 3 (文字)"/>
    <w:basedOn w:val="a0"/>
    <w:link w:val="3"/>
    <w:rsid w:val="000F1FEB"/>
    <w:rPr>
      <w:rFonts w:ascii="Century" w:eastAsia="ＭＳ 明朝" w:hAnsi="Century" w:cs="Times New Roman"/>
      <w:sz w:val="20"/>
      <w:szCs w:val="24"/>
    </w:rPr>
  </w:style>
  <w:style w:type="paragraph" w:styleId="af">
    <w:name w:val="Body Text"/>
    <w:basedOn w:val="a"/>
    <w:link w:val="af0"/>
    <w:semiHidden/>
    <w:unhideWhenUsed/>
    <w:rsid w:val="000F1FEB"/>
    <w:pPr>
      <w:adjustRightInd w:val="0"/>
      <w:spacing w:line="292" w:lineRule="exact"/>
      <w:jc w:val="center"/>
    </w:pPr>
    <w:rPr>
      <w:rFonts w:ascii="ＭＳ 明朝" w:eastAsia="ＭＳ 明朝" w:hAnsi="Century" w:cs="Times New Roman"/>
      <w:b/>
      <w:spacing w:val="-9"/>
      <w:kern w:val="0"/>
      <w:sz w:val="24"/>
      <w:szCs w:val="20"/>
    </w:rPr>
  </w:style>
  <w:style w:type="character" w:customStyle="1" w:styleId="af0">
    <w:name w:val="本文 (文字)"/>
    <w:basedOn w:val="a0"/>
    <w:link w:val="af"/>
    <w:semiHidden/>
    <w:rsid w:val="000F1FEB"/>
    <w:rPr>
      <w:rFonts w:ascii="ＭＳ 明朝" w:eastAsia="ＭＳ 明朝" w:hAnsi="Century" w:cs="Times New Roman"/>
      <w:b/>
      <w:spacing w:val="-9"/>
      <w:kern w:val="0"/>
      <w:sz w:val="24"/>
      <w:szCs w:val="20"/>
    </w:rPr>
  </w:style>
  <w:style w:type="table" w:styleId="af1">
    <w:name w:val="Table Grid"/>
    <w:basedOn w:val="a1"/>
    <w:rsid w:val="000F1FE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2"/>
    <w:uiPriority w:val="99"/>
    <w:semiHidden/>
    <w:unhideWhenUsed/>
    <w:rsid w:val="000F1FEB"/>
    <w:pPr>
      <w:adjustRightInd w:val="0"/>
      <w:spacing w:line="292" w:lineRule="exact"/>
    </w:pPr>
    <w:rPr>
      <w:rFonts w:ascii="Century" w:eastAsia="ＭＳ 明朝" w:hAnsi="Century" w:cs="Times New Roman"/>
      <w:spacing w:val="-9"/>
      <w:kern w:val="0"/>
      <w:sz w:val="16"/>
      <w:szCs w:val="16"/>
    </w:rPr>
  </w:style>
  <w:style w:type="character" w:customStyle="1" w:styleId="32">
    <w:name w:val="本文 3 (文字)"/>
    <w:basedOn w:val="a0"/>
    <w:link w:val="30"/>
    <w:uiPriority w:val="99"/>
    <w:semiHidden/>
    <w:rsid w:val="000F1FEB"/>
    <w:rPr>
      <w:rFonts w:ascii="Century" w:eastAsia="ＭＳ 明朝" w:hAnsi="Century" w:cs="Times New Roman"/>
      <w:spacing w:val="-9"/>
      <w:kern w:val="0"/>
      <w:sz w:val="16"/>
      <w:szCs w:val="16"/>
    </w:rPr>
  </w:style>
  <w:style w:type="paragraph" w:customStyle="1" w:styleId="4">
    <w:name w:val="本文 4"/>
    <w:basedOn w:val="a"/>
    <w:rsid w:val="000F1FEB"/>
    <w:pPr>
      <w:ind w:left="595" w:firstLine="199"/>
    </w:pPr>
    <w:rPr>
      <w:rFonts w:ascii="Century" w:eastAsia="ＭＳ 明朝" w:hAnsi="Century" w:cs="Times New Roman"/>
      <w:sz w:val="20"/>
      <w:szCs w:val="24"/>
    </w:rPr>
  </w:style>
  <w:style w:type="paragraph" w:customStyle="1" w:styleId="af2">
    <w:name w:val="その他の本文"/>
    <w:basedOn w:val="a"/>
    <w:rsid w:val="000F1FEB"/>
    <w:rPr>
      <w:rFonts w:ascii="Century" w:eastAsia="ＭＳ 明朝" w:hAnsi="Century" w:cs="Times New Roman"/>
      <w:sz w:val="20"/>
      <w:szCs w:val="24"/>
    </w:rPr>
  </w:style>
  <w:style w:type="paragraph" w:customStyle="1" w:styleId="hidari">
    <w:name w:val="hidari"/>
    <w:basedOn w:val="a"/>
    <w:rsid w:val="000F1FEB"/>
    <w:pPr>
      <w:spacing w:line="200" w:lineRule="exact"/>
      <w:ind w:left="91" w:right="91"/>
    </w:pPr>
    <w:rPr>
      <w:rFonts w:ascii="Century" w:eastAsia="ＭＳ 明朝" w:hAnsi="Century" w:cs="Times New Roman"/>
      <w:szCs w:val="24"/>
    </w:rPr>
  </w:style>
  <w:style w:type="paragraph" w:customStyle="1" w:styleId="chuou">
    <w:name w:val="chuou"/>
    <w:basedOn w:val="a"/>
    <w:rsid w:val="000F1FEB"/>
    <w:pPr>
      <w:spacing w:line="200" w:lineRule="exact"/>
      <w:jc w:val="center"/>
    </w:pPr>
    <w:rPr>
      <w:rFonts w:ascii="Century" w:eastAsia="ＭＳ 明朝" w:hAnsi="Century" w:cs="Times New Roman"/>
      <w:szCs w:val="24"/>
    </w:rPr>
  </w:style>
  <w:style w:type="paragraph" w:customStyle="1" w:styleId="migi">
    <w:name w:val="migi"/>
    <w:basedOn w:val="a"/>
    <w:rsid w:val="000F1FEB"/>
    <w:pPr>
      <w:spacing w:line="200" w:lineRule="exact"/>
      <w:ind w:right="91"/>
      <w:jc w:val="right"/>
    </w:pPr>
    <w:rPr>
      <w:rFonts w:ascii="Century" w:eastAsia="ＭＳ 明朝" w:hAnsi="Century" w:cs="Times New Roman"/>
      <w:szCs w:val="24"/>
    </w:rPr>
  </w:style>
  <w:style w:type="paragraph" w:styleId="20">
    <w:name w:val="Body Text 2"/>
    <w:basedOn w:val="a"/>
    <w:link w:val="22"/>
    <w:uiPriority w:val="99"/>
    <w:semiHidden/>
    <w:unhideWhenUsed/>
    <w:rsid w:val="000F1FEB"/>
    <w:pPr>
      <w:spacing w:line="480" w:lineRule="auto"/>
    </w:pPr>
  </w:style>
  <w:style w:type="character" w:customStyle="1" w:styleId="22">
    <w:name w:val="本文 2 (文字)"/>
    <w:basedOn w:val="a0"/>
    <w:link w:val="20"/>
    <w:uiPriority w:val="99"/>
    <w:semiHidden/>
    <w:rsid w:val="000F1FEB"/>
  </w:style>
  <w:style w:type="paragraph" w:customStyle="1" w:styleId="Default">
    <w:name w:val="Default"/>
    <w:rsid w:val="003A1166"/>
    <w:pPr>
      <w:widowControl w:val="0"/>
      <w:autoSpaceDE w:val="0"/>
      <w:autoSpaceDN w:val="0"/>
      <w:adjustRightInd w:val="0"/>
    </w:pPr>
    <w:rPr>
      <w:rFonts w:ascii="ＭＳ@....." w:eastAsia="ＭＳ@....." w:cs="ＭＳ@....."/>
      <w:color w:val="000000"/>
      <w:kern w:val="0"/>
      <w:sz w:val="24"/>
      <w:szCs w:val="24"/>
    </w:rPr>
  </w:style>
  <w:style w:type="paragraph" w:styleId="af3">
    <w:name w:val="List Paragraph"/>
    <w:basedOn w:val="a"/>
    <w:uiPriority w:val="34"/>
    <w:qFormat/>
    <w:rsid w:val="00FF709E"/>
    <w:pPr>
      <w:ind w:leftChars="400" w:left="840"/>
    </w:pPr>
  </w:style>
  <w:style w:type="table" w:customStyle="1" w:styleId="1">
    <w:name w:val="表 (格子)1"/>
    <w:basedOn w:val="a1"/>
    <w:next w:val="af1"/>
    <w:uiPriority w:val="39"/>
    <w:rsid w:val="00D6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A2D8-67A6-40ED-B2F5-C9AF6F31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湯田 知子</dc:creator>
  <cp:lastModifiedBy>川崎 晴香</cp:lastModifiedBy>
  <cp:revision>2</cp:revision>
  <cp:lastPrinted>2021-08-10T13:49:00Z</cp:lastPrinted>
  <dcterms:created xsi:type="dcterms:W3CDTF">2021-08-18T04:56:00Z</dcterms:created>
  <dcterms:modified xsi:type="dcterms:W3CDTF">2021-08-18T04:56:00Z</dcterms:modified>
</cp:coreProperties>
</file>